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WW"/>
        <w:bidi w:val="0"/>
        <w:rPr>
          <w:rFonts w:ascii="PT Astra Serif;Times New Roman" w:hAnsi="PT Astra Serif;Times New Roman" w:cs="PT Astra Serif;Times New Roman"/>
          <w:bCs/>
          <w:szCs w:val="28"/>
        </w:rPr>
      </w:pPr>
      <w:r>
        <w:rPr>
          <w:rFonts w:cs="PT Astra Serif;Times New Roman" w:ascii="PT Astra Serif;Times New Roman" w:hAnsi="PT Astra Serif;Times New Roman"/>
          <w:bCs/>
          <w:szCs w:val="28"/>
        </w:rPr>
        <w:t>Лицензионный договор № ______</w:t>
      </w:r>
    </w:p>
    <w:p>
      <w:pPr>
        <w:pStyle w:val="WW"/>
        <w:bidi w:val="0"/>
        <w:rPr>
          <w:rFonts w:ascii="PT Astra Serif;Times New Roman" w:hAnsi="PT Astra Serif;Times New Roman" w:cs="PT Astra Serif;Times New Roman"/>
          <w:b/>
          <w:b/>
          <w:bCs/>
          <w:szCs w:val="28"/>
        </w:rPr>
      </w:pPr>
      <w:r>
        <w:rPr>
          <w:rFonts w:cs="PT Astra Serif;Times New Roman" w:ascii="PT Astra Serif;Times New Roman" w:hAnsi="PT Astra Serif;Times New Roman"/>
          <w:b/>
          <w:bCs/>
          <w:szCs w:val="28"/>
        </w:rPr>
      </w:r>
    </w:p>
    <w:tbl>
      <w:tblPr>
        <w:tblW w:w="9871" w:type="dxa"/>
        <w:jc w:val="left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8"/>
        <w:gridCol w:w="869"/>
        <w:gridCol w:w="1346"/>
        <w:gridCol w:w="283"/>
        <w:gridCol w:w="823"/>
        <w:gridCol w:w="594"/>
        <w:gridCol w:w="163"/>
        <w:gridCol w:w="768"/>
        <w:gridCol w:w="2612"/>
        <w:gridCol w:w="125"/>
      </w:tblGrid>
      <w:tr>
        <w:trPr/>
        <w:tc>
          <w:tcPr>
            <w:tcW w:w="3157" w:type="dxa"/>
            <w:gridSpan w:val="2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г. Санкт-Петербург</w:t>
            </w:r>
          </w:p>
        </w:tc>
        <w:tc>
          <w:tcPr>
            <w:tcW w:w="2452" w:type="dxa"/>
            <w:gridSpan w:val="3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4137" w:type="dxa"/>
            <w:gridSpan w:val="4"/>
            <w:tcBorders/>
          </w:tcPr>
          <w:p>
            <w:pPr>
              <w:pStyle w:val="WW"/>
              <w:widowControl w:val="false"/>
              <w:bidi w:val="0"/>
              <w:jc w:val="righ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«___» ___________ 20___ г.</w:t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157" w:type="dxa"/>
            <w:gridSpan w:val="2"/>
            <w:tcBorders/>
          </w:tcPr>
          <w:p>
            <w:pPr>
              <w:pStyle w:val="WW"/>
              <w:widowControl w:val="false"/>
              <w:bidi w:val="0"/>
              <w:snapToGrid w:val="false"/>
              <w:jc w:val="left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  <w:tc>
          <w:tcPr>
            <w:tcW w:w="2452" w:type="dxa"/>
            <w:gridSpan w:val="3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4137" w:type="dxa"/>
            <w:gridSpan w:val="4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Федеральное государственное казенное военное образовательное учреждение высшего образования «Воен</w:t>
            </w:r>
            <w:r>
              <w:rPr>
                <w:rFonts w:eastAsia="Source Han Sans CN Regular" w:cs="PT Astra Serif;Times New Roman" w:ascii="PT Astra Serif;Times New Roman" w:hAnsi="PT Astra Serif;Times New Roman"/>
                <w:color w:val="auto"/>
                <w:kern w:val="2"/>
                <w:sz w:val="28"/>
                <w:szCs w:val="28"/>
                <w:lang w:val="ru-RU" w:eastAsia="zh-CN" w:bidi="ru-RU"/>
              </w:rPr>
              <w:t>ая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 ордена Жукова академи</w:t>
            </w:r>
            <w:r>
              <w:rPr>
                <w:rFonts w:eastAsia="Source Han Sans CN Regular" w:cs="PT Astra Serif;Times New Roman" w:ascii="PT Astra Serif;Times New Roman" w:hAnsi="PT Astra Serif;Times New Roman"/>
                <w:color w:val="auto"/>
                <w:kern w:val="2"/>
                <w:sz w:val="28"/>
                <w:szCs w:val="28"/>
                <w:lang w:val="ru-RU" w:eastAsia="zh-CN" w:bidi="ru-RU"/>
              </w:rPr>
              <w:t>я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 войск национальной гвардии 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Российской Федерации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» (</w:t>
            </w:r>
            <w:r>
              <w:rPr>
                <w:rFonts w:eastAsia="Source Han Sans CN Regular" w:cs="PT Astra Serif;Times New Roman" w:ascii="PT Astra Serif;Times New Roman" w:hAnsi="PT Astra Serif;Times New Roman"/>
                <w:color w:val="auto"/>
                <w:kern w:val="2"/>
                <w:sz w:val="28"/>
                <w:szCs w:val="28"/>
                <w:lang w:val="ru-RU" w:eastAsia="zh-CN" w:bidi="ru-RU"/>
              </w:rPr>
              <w:t>Академия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 войск национальной гвардии), именуемое в дальнейшем «Лицензиат», в лице врид начальника военного института Кийко Андрея Юрьевича, действующего на основании Устава, с одной стороны, и</w:t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>
              <w:top w:val="single" w:sz="4" w:space="0" w:color="000000"/>
            </w:tcBorders>
          </w:tcPr>
          <w:p>
            <w:pPr>
              <w:pStyle w:val="WW"/>
              <w:widowControl w:val="false"/>
              <w:bidi w:val="0"/>
              <w:rPr/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0"/>
                <w:szCs w:val="20"/>
              </w:rPr>
              <w:t>(</w:t>
            </w:r>
            <w:r>
              <w:rPr>
                <w:rFonts w:cs="PT Astra Serif;Times New Roman" w:ascii="PT Astra Serif;Times New Roman" w:hAnsi="PT Astra Serif;Times New Roman"/>
                <w:sz w:val="20"/>
                <w:szCs w:val="20"/>
              </w:rPr>
              <w:t>Ф.И.О. автора или соавторов</w:t>
            </w:r>
            <w:r>
              <w:rPr>
                <w:rFonts w:cs="PT Astra Serif;Times New Roman" w:ascii="PT Astra Serif;Times New Roman" w:hAnsi="PT Astra Serif;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Cs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jc w:val="both"/>
              <w:rPr/>
            </w:pPr>
            <w:r>
              <w:rPr>
                <w:rFonts w:cs="PT Astra Serif;Times New Roman" w:ascii="PT Astra Serif;Times New Roman" w:hAnsi="PT Astra Serif;Times New Roman"/>
                <w:bCs/>
                <w:szCs w:val="28"/>
              </w:rPr>
              <w:t>именуемый(ая, ые) в дальнейшем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 «Лицензиар», с другой стороны, именуемые в дальнейшем «Сторона/Стороны», заключили настоящий договор (далее – «Договор») о нижеследующем:</w:t>
            </w:r>
          </w:p>
          <w:p>
            <w:pPr>
              <w:pStyle w:val="WW"/>
              <w:widowControl w:val="false"/>
              <w:bidi w:val="0"/>
              <w:jc w:val="both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rPr/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  <w:lang w:val="en-US"/>
              </w:rPr>
              <w:t>I</w:t>
            </w: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  <w:t>. Предмет договора</w:t>
            </w:r>
          </w:p>
          <w:p>
            <w:pPr>
              <w:pStyle w:val="WW"/>
              <w:widowControl w:val="false"/>
              <w:bidi w:val="0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iCs/>
                <w:spacing w:val="-4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iCs/>
                <w:spacing w:val="-4"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ind w:left="0" w:right="0" w:firstLine="709"/>
              <w:jc w:val="both"/>
              <w:rPr/>
            </w:pPr>
            <w:r>
              <w:rPr>
                <w:rFonts w:cs="PT Astra Serif;Times New Roman" w:ascii="PT Astra Serif;Times New Roman" w:hAnsi="PT Astra Serif;Times New Roman"/>
                <w:bCs/>
                <w:iCs/>
                <w:spacing w:val="-4"/>
                <w:szCs w:val="28"/>
              </w:rPr>
              <w:t>1.1. Лицензиар</w:t>
            </w:r>
            <w:r>
              <w:rPr>
                <w:rFonts w:cs="PT Astra Serif;Times New Roman" w:ascii="PT Astra Serif;Times New Roman" w:hAnsi="PT Astra Serif;Times New Roman"/>
                <w:bCs/>
                <w:i/>
                <w:iCs/>
                <w:spacing w:val="-4"/>
                <w:szCs w:val="28"/>
              </w:rPr>
              <w:t xml:space="preserve"> </w:t>
            </w:r>
            <w:r>
              <w:rPr>
                <w:rFonts w:cs="PT Astra Serif;Times New Roman" w:ascii="PT Astra Serif;Times New Roman" w:hAnsi="PT Astra Serif;Times New Roman"/>
                <w:bCs/>
                <w:iCs/>
                <w:spacing w:val="-4"/>
                <w:szCs w:val="28"/>
              </w:rPr>
              <w:t>с момента заключения настоящего Договора</w:t>
            </w:r>
            <w:r>
              <w:rPr>
                <w:rFonts w:cs="PT Astra Serif;Times New Roman" w:ascii="PT Astra Serif;Times New Roman" w:hAnsi="PT Astra Serif;Times New Roman"/>
                <w:bCs/>
                <w:i/>
                <w:iCs/>
                <w:spacing w:val="-4"/>
                <w:szCs w:val="28"/>
              </w:rPr>
              <w:t xml:space="preserve"> </w:t>
            </w:r>
            <w:r>
              <w:rPr>
                <w:rFonts w:cs="PT Astra Serif;Times New Roman" w:ascii="PT Astra Serif;Times New Roman" w:hAnsi="PT Astra Serif;Times New Roman"/>
                <w:bCs/>
                <w:spacing w:val="-4"/>
                <w:szCs w:val="28"/>
              </w:rPr>
              <w:t xml:space="preserve">предоставляет </w:t>
            </w:r>
            <w:r>
              <w:rPr>
                <w:rFonts w:cs="PT Astra Serif;Times New Roman" w:ascii="PT Astra Serif;Times New Roman" w:hAnsi="PT Astra Serif;Times New Roman"/>
                <w:bCs/>
                <w:iCs/>
                <w:spacing w:val="-4"/>
                <w:szCs w:val="28"/>
              </w:rPr>
              <w:t xml:space="preserve">Лицензиату на безвозмездной основе исключительное </w:t>
            </w:r>
            <w:r>
              <w:rPr>
                <w:rFonts w:cs="PT Astra Serif;Times New Roman" w:ascii="PT Astra Serif;Times New Roman" w:hAnsi="PT Astra Serif;Times New Roman"/>
                <w:spacing w:val="-4"/>
                <w:szCs w:val="28"/>
              </w:rPr>
              <w:t>право в соответствии с п. 2 ст. 1270 ГК РФ и настоящим Договором на использование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bCs/>
                <w:spacing w:val="-4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Cs/>
                <w:spacing w:val="-4"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Cs/>
                <w:iCs/>
                <w:spacing w:val="-4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Cs/>
                <w:iCs/>
                <w:spacing w:val="-4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PT Astra Serif;Times New Roman" w:hAnsi="PT Astra Serif;Times New Roman" w:cs="PT Astra Serif;Times New Roman"/>
                <w:bCs/>
                <w:iCs/>
                <w:spacing w:val="-4"/>
              </w:rPr>
            </w:pPr>
            <w:r>
              <w:rPr>
                <w:rFonts w:cs="PT Astra Serif;Times New Roman" w:ascii="PT Astra Serif;Times New Roman" w:hAnsi="PT Astra Serif;Times New Roman"/>
                <w:bCs/>
                <w:iCs/>
                <w:spacing w:val="-4"/>
              </w:rPr>
              <w:t>(наименование, характеристика передаваемых материалов)</w:t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Cs/>
                <w:iCs/>
                <w:spacing w:val="-4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Cs/>
                <w:iCs/>
                <w:spacing w:val="-4"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jc w:val="both"/>
              <w:rPr>
                <w:rFonts w:ascii="PT Astra Serif;Times New Roman" w:hAnsi="PT Astra Serif;Times New Roman" w:cs="PT Astra Serif;Times New Roman"/>
                <w:bCs/>
                <w:iCs/>
                <w:spacing w:val="-4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Cs/>
                <w:iCs/>
                <w:spacing w:val="-4"/>
                <w:szCs w:val="28"/>
              </w:rPr>
              <w:t>«</w:t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Cs/>
                <w:iCs/>
                <w:spacing w:val="-4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Cs/>
                <w:iCs/>
                <w:spacing w:val="-4"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jc w:val="right"/>
              <w:rPr>
                <w:rFonts w:ascii="PT Astra Serif;Times New Roman" w:hAnsi="PT Astra Serif;Times New Roman" w:cs="PT Astra Serif;Times New Roman"/>
                <w:bCs/>
                <w:iCs/>
                <w:spacing w:val="-4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Cs/>
                <w:iCs/>
                <w:spacing w:val="-4"/>
                <w:szCs w:val="28"/>
              </w:rPr>
              <w:t>»,</w:t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  <w:tcMar>
              <w:top w:w="55" w:type="dxa"/>
              <w:bottom w:w="55" w:type="dxa"/>
            </w:tcMar>
          </w:tcPr>
          <w:p>
            <w:pPr>
              <w:pStyle w:val="WW"/>
              <w:widowControl w:val="false"/>
              <w:bidi w:val="0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именуемого в дальнейшем «Произведение», на основе неисключительной лицензии в обусловленных Договором пределах и на определенный Договором срок для публикации в специальном периодическом издании «Вестник Вое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н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н</w:t>
            </w:r>
            <w:r>
              <w:rPr>
                <w:rFonts w:eastAsia="Source Han Sans CN Regular" w:cs="PT Astra Serif;Times New Roman" w:ascii="PT Astra Serif;Times New Roman" w:hAnsi="PT Astra Serif;Times New Roman"/>
                <w:color w:val="auto"/>
                <w:kern w:val="2"/>
                <w:sz w:val="28"/>
                <w:szCs w:val="28"/>
                <w:lang w:val="ru-RU" w:eastAsia="zh-CN" w:bidi="ru-RU"/>
              </w:rPr>
              <w:t>ой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 ордена Жукова академи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и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 войск национальной гвардии» (далее – Журнал).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1.2. Лицензиар гарантирует, что он обладает исключительным авторским правом на передаваемое Лицензиату Произведение.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1.3. Лицензиар предоставляет Лицензиату на срок 5 (пять) лет действия исключительных прав на Произведение следующие права: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воспроизведение Произведения в любой материальной форме (опубликование, обнародование, дублирование, тиражирование или иное размножение Произведения), в том числе на бумажном и электронном носителях, в Журнале и/или базах данных Лицензиата и/или третьих лиц по усмотрению Лицензиата, в соответствии с заключаемыми Лицензиатом договорами;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доведение Произведения до всеобщего сведения (в том числе через сеть Интернет);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право на включение в составное произведение;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предоставление разрешения на использование Произведения, полученного по настоящему Договору, и передачу прав третьим лицам по усмотрению Лицензиата;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перевод Произведения на иностранные языки и использование переведенного Произведения указанными способами;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на использование метаданных (название, имя автора (правообладателя), аннотации, библиографические материалы и пр.) Произведения путем распространения и доведения до всеобщего сведения, обработки и систематизации, а также включения в различные базы данных и информационные системы.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1.4. Лицензиар передает права Лицензиату по настоящему Договору на основе неисключительной лицензии следующими способами: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импортировать экземпляры произведения в целях распространения, включая экземпляры, изготовленные с разрешения обладателя исключительных авторских прав (право на импорт);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переводить произведение (право на перевод).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1.5. Дата подписания настоящего Договора является моментом передачи Лицензиату прав, указанных в настоящем Договоре.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1.6. Если ни одна из Сторон не направит другой Стороне письменное уведомление о расторжении Договора не позднее, чем за два месяца до окончания предписанного пятилетнего срока, то срок действия прав Лицензиата на Произведение автоматически пролонгируется на аналогичный срок. Количество пролонгаций не ограничено.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1.7. Срок, указанный в п. 1.2 Договора, не может превышать срок действия исключительного права на Произведение. В случае отчуждения исключительного права Лицензиар обязан в письменном виде уведомить Лицензиата о прекращении действия его прав в отношении Произведения или их составных частей не менее чем за три месяца до такого прекращения.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1.8. Иные права, прямо не переданные Лицензиату по настоящему Договору, включая патентные права на любые процессы, способы или методы и прочее, описанные Лицензиаром в Произведении, а также права на товарные знаки, сохраняются за Лицензиаром, иными правообладателями.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1.9. Предоставленные Лицензиаром материалы Произведения должны удовлетворять следующим условиям: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а) авторский материал научного содержания;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б) наличие отзыва научного руководителя на авторский материал в случае, если Лицензиар является соискателем на присуждение ученой степени;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в) соответствие требованиям к публикации в сетевом научном журнале «Вестник Воен</w:t>
            </w:r>
            <w:r>
              <w:rPr>
                <w:rFonts w:eastAsia="Source Han Sans CN Regular" w:cs="PT Astra Serif;Times New Roman" w:ascii="PT Astra Serif;Times New Roman" w:hAnsi="PT Astra Serif;Times New Roman"/>
                <w:color w:val="auto"/>
                <w:kern w:val="2"/>
                <w:sz w:val="28"/>
                <w:szCs w:val="28"/>
                <w:lang w:val="ru-RU" w:eastAsia="zh-CN" w:bidi="ru-RU"/>
              </w:rPr>
              <w:t>ой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 ордена Жукова академи</w:t>
            </w:r>
            <w:r>
              <w:rPr>
                <w:rFonts w:eastAsia="Source Han Sans CN Regular" w:cs="PT Astra Serif;Times New Roman" w:ascii="PT Astra Serif;Times New Roman" w:hAnsi="PT Astra Serif;Times New Roman"/>
                <w:color w:val="auto"/>
                <w:kern w:val="2"/>
                <w:sz w:val="28"/>
                <w:szCs w:val="28"/>
                <w:lang w:val="ru-RU" w:eastAsia="zh-CN" w:bidi="ru-RU"/>
              </w:rPr>
              <w:t xml:space="preserve">и 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войск национальной гвардии».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1.10. Территория, на которой допускается использование прав на Произведение, не ограничена.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  <w:p>
            <w:pPr>
              <w:pStyle w:val="WW"/>
              <w:widowControl w:val="false"/>
              <w:bidi w:val="0"/>
              <w:rPr/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  <w:lang w:val="en-US"/>
              </w:rPr>
              <w:t>II</w:t>
            </w: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  <w:t>. Порядок и условия оплаты</w:t>
            </w:r>
          </w:p>
          <w:p>
            <w:pPr>
              <w:pStyle w:val="WW"/>
              <w:widowControl w:val="false"/>
              <w:bidi w:val="0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ind w:left="0" w:right="0" w:firstLine="709"/>
              <w:jc w:val="both"/>
              <w:rPr/>
            </w:pPr>
            <w:r>
              <w:rPr>
                <w:rFonts w:cs="PT Astra Serif;Times New Roman" w:ascii="PT Astra Serif;Times New Roman" w:hAnsi="PT Astra Serif;Times New Roman"/>
                <w:bCs/>
                <w:szCs w:val="28"/>
              </w:rPr>
              <w:t>2.1. Работы по настоящему Договору осуществляются на безвозмездной основе: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/>
            </w:pPr>
            <w:r>
              <w:rPr>
                <w:rFonts w:cs="PT Astra Serif;Times New Roman" w:ascii="PT Astra Serif;Times New Roman" w:hAnsi="PT Astra Serif;Times New Roman"/>
                <w:bCs/>
                <w:szCs w:val="28"/>
              </w:rPr>
              <w:t xml:space="preserve">2.1.1. За создание 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Произведения</w:t>
            </w:r>
            <w:r>
              <w:rPr>
                <w:rFonts w:cs="PT Astra Serif;Times New Roman" w:ascii="PT Astra Serif;Times New Roman" w:hAnsi="PT Astra Serif;Times New Roman"/>
                <w:bCs/>
                <w:szCs w:val="28"/>
              </w:rPr>
              <w:t xml:space="preserve"> Лицензиат 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Лицензиар</w:t>
            </w:r>
            <w:r>
              <w:rPr>
                <w:rFonts w:cs="PT Astra Serif;Times New Roman" w:ascii="PT Astra Serif;Times New Roman" w:hAnsi="PT Astra Serif;Times New Roman"/>
                <w:bCs/>
                <w:szCs w:val="28"/>
              </w:rPr>
              <w:t>у (соавторам) выплат не производит.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/>
            </w:pPr>
            <w:r>
              <w:rPr>
                <w:rFonts w:cs="PT Astra Serif;Times New Roman" w:ascii="PT Astra Serif;Times New Roman" w:hAnsi="PT Astra Serif;Times New Roman"/>
                <w:bCs/>
                <w:szCs w:val="28"/>
              </w:rPr>
              <w:t xml:space="preserve">2.1.2. Лицензиат не выплачивает вознаграждение 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Лицензиар</w:t>
            </w:r>
            <w:r>
              <w:rPr>
                <w:rFonts w:cs="PT Astra Serif;Times New Roman" w:ascii="PT Astra Serif;Times New Roman" w:hAnsi="PT Astra Serif;Times New Roman"/>
                <w:bCs/>
                <w:szCs w:val="28"/>
              </w:rPr>
              <w:t>у (соавторам) за переданные по настоящему Договору права.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/>
            </w:pPr>
            <w:r>
              <w:rPr>
                <w:rFonts w:cs="PT Astra Serif;Times New Roman" w:ascii="PT Astra Serif;Times New Roman" w:hAnsi="PT Astra Serif;Times New Roman"/>
                <w:bCs/>
                <w:szCs w:val="28"/>
              </w:rPr>
              <w:t xml:space="preserve">2.1.3. Работа Лицензиата 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Лицензиар</w:t>
            </w:r>
            <w:r>
              <w:rPr>
                <w:rFonts w:cs="PT Astra Serif;Times New Roman" w:ascii="PT Astra Serif;Times New Roman" w:hAnsi="PT Astra Serif;Times New Roman"/>
                <w:bCs/>
                <w:szCs w:val="28"/>
              </w:rPr>
              <w:t>ом (соавторами) не оплачивается.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2.2. Лицензиар не требует вознаграждения за передачу Лицензиату Права на использование Произведения.</w:t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lang w:val="en-US"/>
              </w:rPr>
              <w:t>III</w:t>
            </w: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  <w:t>. Права и обязанности Сторон</w:t>
            </w:r>
          </w:p>
          <w:p>
            <w:pPr>
              <w:pStyle w:val="Normal"/>
              <w:widowControl w:val="false"/>
              <w:bidi w:val="0"/>
              <w:jc w:val="center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3.1. Лицензиар гарантирует: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3.1.1. Лицензиар обладает исключительными правами на Произведение.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3.1.2. Произведение никому ранее не передавалось для воспроизведения или иного использования.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3.1.3. Произведение, предоставленное по настоящему Договору, не нарушает прав третьих лиц, содержит все предусмотренные действующим законодательством об авторском праве ссылки на цитируемых авторов и/или издания (материалы).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3.1.4. Лицензиаром получены все необходимые разрешения на приведенные результаты, факты и иные заимствованные материалы, правообладателем которых Лицензиар не является.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3.1.5. Произведение не содержит информации, не подлежащей опубликованию в открытой печати, в соответствии с действующими законодательными актами Российской Федерации, и его опубликование и распространение не приведет к разглашению конфиденциальной информации (включая государственную тайну).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3.2. Лицензиар обязуется: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3.2.1. Предоставить Произведение, оформленное в соответствии с требованиями Лицензиата.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3.2.2. Проинформировать других соавторов относительно условий настоящего Договора и получить согласие всех соавторов на его заключение на условиях, предусмотренных настоящим Договором.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3.2.3. Не использовать в коммерческих целях и в других изданиях без согласия Лицензиата электронную копию авторских материалов, подготовленную Лицензиатом.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3.2.4. Соблюдать следующие этические принципы: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Лицензиар (или коллектив авторов) несет первоначальную ответственность за новизну и достоверность предоставляемого Произведения;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Лицензиар не должен предоставлять в Журнал Произведение, которое было отправлено в другой журнал (издательство) и/или находится на рассмотрении к публикации в другом журнале (издательстве), а также Произведение, уже опубликованное в другом журнале (издательстве);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- Лицензиар не должен повторно предоставлять Произведение, посвященное одному и тому же исследованию, как оригинальное. Если элементы Произведения были ранее опубликованы, Лицензиар обязан сослаться на такую публикацию и указать существенное отличие нового Произведения от ранее опубликованного. Также Лицензиар обязан выявить связь нового Произведения с выводами предыдущего (предыдущих). Дословное копирование или перефразирование предыдущих Произведений недопустимо; 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заимствованные фрагменты или утверждения должны быть оформлены с обязательным указанием первоисточника. Чрезмерные заимствования, плагиат в любых формах (неоформленные цитаты, перефразирования или присвоение прав на результаты чужих исследований) недопустимы;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соавторами Произведения должны быть указаны все лица, внесшие существенный вклад в подготовку и написание Произведения. Все соавторы должны одобрить окончательную версию Произведения и быть согласны с его публикацией;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Лицензиар несет ответственность за достоверность приведенных сведений, точность и полноту информации по цитируемой литературе. Лицензиар гарантирует Лицензиату возмещение убытков в случае выявления подобных нарушений;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Лицензиар должен раскрыть в Произведении существенные конфликты интересов, которые могли оказать влияние на результаты или выводы, представленные в Произведении. Лицензиар также должен перечислить все источники финансирования подготовки и написания Произведения или указать отсутствие таких источников;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если Лицензиар обнаружит существенные ошибки или неточности в Произведении на этапе рассмотрения или после опубликования, он должен немедленно уведомить об этом Лицензиата;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при написании Произведения и при взаимодействии с Лицензиатом Лицензиар должен опираться на требования Лицензиата.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3.3. Лицензиар вправе: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pacing w:val="-4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pacing w:val="-4"/>
                <w:szCs w:val="28"/>
              </w:rPr>
              <w:t>3.3.1. Безвозмездно передавать коллегам копию Произведения целиком или частично для их личного или профессионального использования, для продвижения академических или научных исследований, для учебных и/или для информационных целей работодателя.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3.3.2. Использовать материалы из опубликованного Произведения при написании книги.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3.3.3. Использовать отдельные рисунки или таблицы и отрывки текста в собственных целях обучения или для включения их в другие материалы, для представления в электронном формате во внутренней (защищенной) компьютерной сети Лицензиара, или его работодателя.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/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3.3.4. Включать Произведение в учебные сборники для использования в аудитории, для безвозмездного распространения материала обучающимся Лицензиара или сохранять материал в электронном формате для доступа обучающихся как к части курса обучения, а также для внутренних обучающих программ в учреждении работодателя.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3.3.5. При любом последующем разрешенном использовании опубликованного Произведения (в том числе любой ее отдельной части, фрагмента) необходимо указывать ссылку на Журнал, Лицензиата, Лицензиара (соавторов), название Произведения, номер Журнала и год опубликования.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3.3.6. Отозвать статью в соответствии с п. 3.1–3.2, направив заявление, подписанное Лицензиаром (соавторами), подписи Лицензиара (соавторов) заверить.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3.4. Лицензиат обязуется опубликовать Произведение в соответствии с условиями настоящего Договора при наличии положительного результата внутреннего рецензирования и внесения Лицензиаром исправлений в соответствии с замечаниями рецензента.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3.5. Лицензиат имеет право: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3.5.1. Осуществлять литературное и техническое редактирование Произведения, не меняющее его принципиальных положений.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3.5.2. Проводить экспертизу и рецензирование полученного Произведения и предлагать Лицензиару внести необходимые изменения, без которых материал не будет опубликован.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3.5.3. Устанавливать правила (условия) приема и публикации Произведений. Лицензиату принадлежат исключительные права отбора и/или отклонения Произведений, направляемых с целью публикации. Лицензиат не вступает в переписку с авторами по вопросам отклонения Произведений.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3.5.4. В соответствии со ст. 42 Закона Российской Федерации </w:t>
              <w:br/>
              <w:t>«О средствах массовой информации» отклонить публикацию Произведения, если она не отвечает требованиям Лицензиата. Никто не вправе обязать Лицензиата опубликовать отклоненное Произведение, если иное не предусмотрено законом.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3.5.5. Лицензиат вправе по своему усмотрению без каких-либо согласований с Лицензиаром заключать договоры и соглашения с третьими лицами.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3.5.6. В одностороннем порядке изменять условия настоящего Договора и корректировать его положения, публикуя уведомления об изменениях на сайте Лицензиата.</w:t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snapToGrid w:val="false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  <w:p>
            <w:pPr>
              <w:pStyle w:val="WW"/>
              <w:widowControl w:val="false"/>
              <w:bidi w:val="0"/>
              <w:rPr/>
            </w:pPr>
            <w:r>
              <w:rPr>
                <w:rFonts w:cs="PT Astra Serif;Times New Roman" w:ascii="PT Astra Serif;Times New Roman" w:hAnsi="PT Astra Serif;Times New Roman"/>
                <w:b/>
                <w:szCs w:val="28"/>
                <w:lang w:val="en-US"/>
              </w:rPr>
              <w:t>IV</w:t>
            </w:r>
            <w:r>
              <w:rPr>
                <w:rFonts w:cs="PT Astra Serif;Times New Roman" w:ascii="PT Astra Serif;Times New Roman" w:hAnsi="PT Astra Serif;Times New Roman"/>
                <w:b/>
                <w:szCs w:val="28"/>
              </w:rPr>
              <w:t>.</w:t>
            </w:r>
            <w:r>
              <w:rPr>
                <w:rFonts w:cs="PT Astra Serif;Times New Roman" w:ascii="PT Astra Serif;Times New Roman" w:hAnsi="PT Astra Serif;Times New Roman"/>
                <w:b/>
                <w:szCs w:val="28"/>
                <w:lang w:val="en-US"/>
              </w:rPr>
              <w:t> </w:t>
            </w:r>
            <w:r>
              <w:rPr>
                <w:rFonts w:cs="PT Astra Serif;Times New Roman" w:ascii="PT Astra Serif;Times New Roman" w:hAnsi="PT Astra Serif;Times New Roman"/>
                <w:b/>
                <w:szCs w:val="28"/>
              </w:rPr>
              <w:t>Порядок заключения Договора и изменения его условий</w:t>
            </w:r>
          </w:p>
          <w:p>
            <w:pPr>
              <w:pStyle w:val="WW"/>
              <w:widowControl w:val="false"/>
              <w:bidi w:val="0"/>
              <w:rPr>
                <w:rFonts w:ascii="PT Astra Serif;Times New Roman" w:hAnsi="PT Astra Serif;Times New Roman" w:cs="PT Astra Serif;Times New Roman"/>
                <w:b/>
                <w:b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4.1. Настоящий Договор является офертой (публичным предложением) Лицензиата неопределенному кругу лиц (Лицензиарам) о заключении настоящего Договора с полным и безоговорочным принятием его условий (акцептом) Лицензиаром (соавторами) в соответствии со ст. 438 Гражданского кодекса Российской Федерации. 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4.2. Заключением Договора со стороны Лицензиара, то есть полным и безоговорочным принятием (акцептом) Лицензиаром условий Договора, является выполнение Лицензиаром любого из нижеследующих действий: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/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осуществление Лицензиаром передачи Произведения Лицензиату лично, по каналам специальной связи и регистрация Лицензиатом поступившего на адрес Лицензиата Произведения;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доработка Лицензиаром Произведения по предложению Лицензиата и передача Лицензиату доработанного Произведения для публикации в Журнале Лицензиата.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4.3. Действие настоящего Договора возникает с момента направления Лицензиаром Произведения в Журнал.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4.4. Настоящий Договор может быть расторгнут в следующих случаях: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4.4.1. По соглашению Сторон в любое время до опубликования Произведения в Журнале.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4.4.2. По инициативе Лицензиата, в случае если Произведение не отвечает требованиям Лицензиата и/или по иным причинам не может быть опубликовано в Журнале. В этом случае Лицензиат направляет Лицензиару на адрес электронной почты, указанный Лицензиаром как контактный, мотивированный отказ.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4.4.3. По инициативе Лицензиара, в случае если после одобрения Произведения для публикации в Журнале Произведение не было опубликовано в течение одного года. В этом случае Лицензиар должен направить Лицензиату письменное уведомление об отказе от настоящего Договора.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4.4.4. По иным основаниям, предусмотренным действующим законодательством Российской Федерации.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rPr/>
            </w:pPr>
            <w:r>
              <w:rPr>
                <w:rFonts w:cs="PT Astra Serif;Times New Roman" w:ascii="PT Astra Serif;Times New Roman" w:hAnsi="PT Astra Serif;Times New Roman"/>
                <w:b/>
                <w:szCs w:val="28"/>
                <w:lang w:val="en-US"/>
              </w:rPr>
              <w:t>V. </w:t>
            </w:r>
            <w:r>
              <w:rPr>
                <w:rFonts w:cs="PT Astra Serif;Times New Roman" w:ascii="PT Astra Serif;Times New Roman" w:hAnsi="PT Astra Serif;Times New Roman"/>
                <w:b/>
                <w:szCs w:val="28"/>
              </w:rPr>
              <w:t>Ответственность</w:t>
            </w:r>
            <w:r>
              <w:rPr>
                <w:rFonts w:cs="PT Astra Serif;Times New Roman" w:ascii="PT Astra Serif;Times New Roman" w:hAnsi="PT Astra Serif;Times New Roman"/>
                <w:b/>
                <w:szCs w:val="28"/>
                <w:lang w:val="en-US"/>
              </w:rPr>
              <w:t xml:space="preserve"> </w:t>
            </w:r>
            <w:r>
              <w:rPr>
                <w:rFonts w:cs="PT Astra Serif;Times New Roman" w:ascii="PT Astra Serif;Times New Roman" w:hAnsi="PT Astra Serif;Times New Roman"/>
                <w:b/>
                <w:szCs w:val="28"/>
              </w:rPr>
              <w:t>Сторон</w:t>
            </w:r>
          </w:p>
          <w:p>
            <w:pPr>
              <w:pStyle w:val="WW"/>
              <w:widowControl w:val="false"/>
              <w:bidi w:val="0"/>
              <w:rPr>
                <w:rFonts w:ascii="PT Astra Serif;Times New Roman" w:hAnsi="PT Astra Serif;Times New Roman" w:cs="PT Astra Serif;Times New Roman"/>
                <w:b/>
                <w:b/>
                <w:szCs w:val="28"/>
                <w:lang w:val="en-US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Cs w:val="28"/>
                <w:lang w:val="en-US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sz w:val="28"/>
                <w:szCs w:val="28"/>
                <w:lang w:val="en-US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 w:val="28"/>
                <w:szCs w:val="28"/>
                <w:lang w:val="en-US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ind w:left="0" w:right="0" w:firstLine="709"/>
              <w:jc w:val="both"/>
              <w:rPr/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5.1.</w:t>
            </w:r>
            <w:r>
              <w:rPr>
                <w:rFonts w:cs="PT Astra Serif;Times New Roman" w:ascii="PT Astra Serif;Times New Roman" w:hAnsi="PT Astra Serif;Times New Roman"/>
                <w:szCs w:val="28"/>
                <w:lang w:val="en-US"/>
              </w:rPr>
              <w:t> 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За неисполнение или ненадлежащее исполнение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5.2. Все сведения, представленные Лицензиаром, должны быть полными и достоверными. При использовании недостоверных сведений, полученных от Лицензиара, Лицензиат не несет ответственности за негативные последствия, вызванные действиями Лицензиара на основании представленных недостоверных сведений.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5.3. Лицензиар самостоятельно несет всю ответственность за соблюдение требований законодательства о рекламе, защите авторских и смежных прав, об охране товарных знаков и знаков обслуживания, о защите прав потребителей. В случае предъявления к Лицензиату требований, связанных с нарушением исключительных авторских и иных прав интеллектуальной собственности третьих лиц, Лицензиар обязуется: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5.3.1. Немедленно, после получения информации о нарушении прав третьих лиц, принять меры к урегулированию споров с третьими лицами.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5.3.2. Возместить Лицензиату понесенные судебные расходы и убытки, вызванные применением мер обеспечения иска и исполнения судебного решения, а также иные убытки, понесенные Лицензиатом в связи с несоблюдением Лицензиаром гарантий, предоставленных им по настоящему Договору.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5.4. Лицензиат не несет никакой ответственности по Договору за: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5.4.1. Какие-либо действия, являющиеся прямым или косвенным результатом действий Лицензиара.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5.4.2. Какие-либо убытки Лицензиара вне зависимости от того, мог ли Лицензиат предвидеть возможность таких убытков или нет.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5.4.3. Несанкционированное использование данных, предоставленных Лицензиаром третьим лицам.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5.5. Лицензиат освобождается от ответственности за нарушение условий Договора, если такое нарушение вызвано действием обстоятельств непреодолимой силы (форс-мажор), включая: 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- действия органов государственной власти (в т. ч. принятие правовых актов); 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- пожар, наводнение, землетрясение, другие стихийные бедствия; 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- отсутствие электроэнергии и/или сбои работы компьютерной сети; 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- забастовки, гражданские волнения, беспорядки; 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- любые иные обстоятельства, которые могут повлиять на исполнение Лицензиатом Договора.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rPr>
                <w:rFonts w:ascii="PT Astra Serif;Times New Roman" w:hAnsi="PT Astra Serif;Times New Roman" w:cs="PT Astra Serif;Times New Roman"/>
                <w:b/>
                <w:b/>
                <w:szCs w:val="28"/>
                <w:lang w:val="en-US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Cs w:val="28"/>
                <w:lang w:val="en-US"/>
              </w:rPr>
              <w:t>VI. Порядок разрешения споров</w:t>
            </w:r>
          </w:p>
          <w:p>
            <w:pPr>
              <w:pStyle w:val="WW"/>
              <w:widowControl w:val="false"/>
              <w:bidi w:val="0"/>
              <w:rPr>
                <w:rFonts w:ascii="PT Astra Serif;Times New Roman" w:hAnsi="PT Astra Serif;Times New Roman" w:cs="PT Astra Serif;Times New Roman"/>
                <w:b/>
                <w:b/>
                <w:szCs w:val="28"/>
                <w:lang w:val="en-US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Cs w:val="28"/>
                <w:lang w:val="en-US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sz w:val="28"/>
                <w:szCs w:val="28"/>
                <w:lang w:val="en-US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 w:val="28"/>
                <w:szCs w:val="28"/>
                <w:lang w:val="en-US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Normal"/>
              <w:widowControl w:val="false"/>
              <w:bidi w:val="0"/>
              <w:ind w:left="0" w:right="0" w:firstLine="567"/>
              <w:jc w:val="both"/>
              <w:rPr>
                <w:rFonts w:ascii="PT Astra Serif;Times New Roman" w:hAnsi="PT Astra Serif;Times New Roman" w:cs="PT Astra Serif;Times New Roman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</w:rPr>
              <w:t>6.1. Все споры и разногласия, которые могут возникнуть между Сторонами, будут разрешаться путем переговоров, а в случае недостижения согласия – в соответствии с действующим законодательством Российской Федерации.</w:t>
            </w:r>
          </w:p>
          <w:p>
            <w:pPr>
              <w:pStyle w:val="Normal"/>
              <w:widowControl w:val="false"/>
              <w:bidi w:val="0"/>
              <w:ind w:left="0" w:right="0" w:firstLine="567"/>
              <w:jc w:val="both"/>
              <w:rPr>
                <w:rFonts w:ascii="PT Astra Serif;Times New Roman" w:hAnsi="PT Astra Serif;Times New Roman" w:cs="PT Astra Serif;Times New Roman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</w:rPr>
              <w:t>6.2. При неурегулировании в процессе переговоров спорных вопросов споры разрешаются в порядке, установленном действующим законодательством Российской Федерации.</w:t>
            </w:r>
          </w:p>
          <w:p>
            <w:pPr>
              <w:pStyle w:val="WW"/>
              <w:widowControl w:val="false"/>
              <w:bidi w:val="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Style32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sz w:val="28"/>
                <w:szCs w:val="28"/>
                <w:lang w:eastAsia="zh-CN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 w:val="28"/>
                <w:szCs w:val="28"/>
                <w:lang w:eastAsia="zh-CN"/>
              </w:rPr>
            </w:r>
          </w:p>
          <w:p>
            <w:pPr>
              <w:pStyle w:val="WW"/>
              <w:widowControl w:val="false"/>
              <w:bidi w:val="0"/>
              <w:spacing w:lineRule="auto" w:line="230"/>
              <w:rPr>
                <w:rFonts w:ascii="PT Astra Serif;Times New Roman" w:hAnsi="PT Astra Serif;Times New Roman" w:cs="PT Astra Serif;Times New Roman"/>
                <w:b/>
                <w:b/>
                <w:szCs w:val="28"/>
                <w:lang w:val="en-US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Cs w:val="28"/>
                <w:lang w:val="en-US"/>
              </w:rPr>
              <w:t>VII. Прочие условия</w:t>
            </w:r>
          </w:p>
          <w:p>
            <w:pPr>
              <w:pStyle w:val="WW"/>
              <w:widowControl w:val="false"/>
              <w:bidi w:val="0"/>
              <w:spacing w:lineRule="auto" w:line="230"/>
              <w:rPr>
                <w:rFonts w:ascii="PT Astra Serif;Times New Roman" w:hAnsi="PT Astra Serif;Times New Roman" w:cs="PT Astra Serif;Times New Roman"/>
                <w:b/>
                <w:b/>
                <w:szCs w:val="28"/>
                <w:lang w:val="en-US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Cs w:val="28"/>
                <w:lang w:val="en-US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sz w:val="28"/>
                <w:szCs w:val="28"/>
                <w:lang w:val="en-US"/>
              </w:rPr>
            </w:pPr>
            <w:r>
              <w:rPr>
                <w:rFonts w:cs="PT Astra Serif;Times New Roman" w:ascii="PT Astra Serif;Times New Roman" w:hAnsi="PT Astra Serif;Times New Roman"/>
                <w:b/>
                <w:sz w:val="28"/>
                <w:szCs w:val="28"/>
                <w:lang w:val="en-US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spacing w:lineRule="auto" w:line="23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7.1. В случае, если Лицензиар является физическим лицом, то в соответствии со ст. 6 Федерального закона от 27 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июля 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2006 г. № 152</w:t>
              <w:noBreakHyphen/>
              <w:t xml:space="preserve">ФЗ </w:t>
              <w:br/>
              <w:t>«О персональных данных» в период с момента направления Произведения Лицензиату и до прекращения обязательств Сторон по настоящему Договору Лицензиар выражает согласие на обработку персональных данных (фамилия, имя, отчество; сведения о месте работы и занимаемой должности; почтовый адрес с индексом; учёная степень (учёное звание); почетные звания; номера контактных телефонов; электронная почта, контактный телефон и другие данные в рамках Произведения).</w:t>
            </w:r>
          </w:p>
          <w:p>
            <w:pPr>
              <w:pStyle w:val="WW"/>
              <w:widowControl w:val="false"/>
              <w:bidi w:val="0"/>
              <w:spacing w:lineRule="auto" w:line="230"/>
              <w:ind w:left="0" w:right="0" w:firstLine="709"/>
              <w:jc w:val="both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Под обработкой персональных данных понимаются действия (операции) с персональными данными, включая сбор, систематизацию, накопление, хранение, уточнение (обновление, изменение), использование, распространение (в том числе передача третьим лицам в соответствии с п. 3.1), обезличивание (для осуществления рецензирования), блокирование и уничтожение персональных данных.</w:t>
            </w:r>
          </w:p>
          <w:p>
            <w:pPr>
              <w:pStyle w:val="WW"/>
              <w:widowControl w:val="false"/>
              <w:bidi w:val="0"/>
              <w:spacing w:lineRule="auto" w:line="230"/>
              <w:ind w:left="0" w:right="0" w:firstLine="709"/>
              <w:jc w:val="both"/>
              <w:rPr/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7.2. </w:t>
            </w:r>
            <w:r>
              <w:rPr>
                <w:rFonts w:cs="PT Astra Serif;Times New Roman" w:ascii="PT Astra Serif;Times New Roman" w:hAnsi="PT Astra Serif;Times New Roman"/>
                <w:bCs/>
                <w:szCs w:val="28"/>
              </w:rPr>
              <w:t xml:space="preserve">Во всем, что не оговорено в настоящем Договоре, стороны руководствуются 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действующим законодательством Российской Федерации.</w:t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9746" w:type="dxa"/>
            <w:gridSpan w:val="9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  <w:p>
            <w:pPr>
              <w:pStyle w:val="WW"/>
              <w:widowControl w:val="false"/>
              <w:bidi w:val="0"/>
              <w:rPr/>
            </w:pPr>
            <w:r>
              <w:rPr>
                <w:rFonts w:cs="PT Astra Serif;Times New Roman" w:ascii="PT Astra Serif;Times New Roman" w:hAnsi="PT Astra Serif;Times New Roman"/>
                <w:b/>
                <w:szCs w:val="28"/>
                <w:lang w:val="en-US"/>
              </w:rPr>
              <w:t>VIII</w:t>
            </w:r>
            <w:r>
              <w:rPr>
                <w:rFonts w:cs="PT Astra Serif;Times New Roman" w:ascii="PT Astra Serif;Times New Roman" w:hAnsi="PT Astra Serif;Times New Roman"/>
                <w:b/>
                <w:szCs w:val="28"/>
              </w:rPr>
              <w:t>. Адреса и подписи Сторон</w:t>
            </w:r>
          </w:p>
          <w:p>
            <w:pPr>
              <w:pStyle w:val="WW"/>
              <w:widowControl w:val="false"/>
              <w:bidi w:val="0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rPr>
                <w:rFonts w:ascii="PT Astra Serif;Times New Roman" w:hAnsi="PT Astra Serif;Times New Roman" w:cs="PT Astra Serif;Times New Roman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</w:rPr>
              <w:t>Лицензиат</w:t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Cs/>
                <w:szCs w:val="28"/>
              </w:rPr>
            </w:r>
          </w:p>
        </w:tc>
        <w:tc>
          <w:tcPr>
            <w:tcW w:w="5085" w:type="dxa"/>
            <w:gridSpan w:val="6"/>
            <w:tcBorders>
              <w:bottom w:val="single" w:sz="4" w:space="0" w:color="000000"/>
            </w:tcBorders>
          </w:tcPr>
          <w:p>
            <w:pPr>
              <w:pStyle w:val="Style40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PT Astra Serif;Times New Roman" w:hAnsi="PT Astra Serif;Times New Roman" w:cs="PT Astra Serif;Times New Roman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</w:rPr>
              <w:t>Лицензиар</w:t>
            </w:r>
          </w:p>
        </w:tc>
      </w:tr>
      <w:tr>
        <w:trPr/>
        <w:tc>
          <w:tcPr>
            <w:tcW w:w="4503" w:type="dxa"/>
            <w:gridSpan w:val="3"/>
            <w:tcBorders>
              <w:top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5085" w:type="dxa"/>
            <w:gridSpan w:val="6"/>
            <w:tcBorders/>
          </w:tcPr>
          <w:p>
            <w:pPr>
              <w:pStyle w:val="Style40"/>
              <w:widowControl w:val="false"/>
              <w:bidi w:val="0"/>
              <w:snapToGrid w:val="false"/>
              <w:jc w:val="center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Федеральное государственное </w:t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417" w:type="dxa"/>
            <w:gridSpan w:val="2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Фамилия:</w:t>
            </w:r>
          </w:p>
        </w:tc>
        <w:tc>
          <w:tcPr>
            <w:tcW w:w="3543" w:type="dxa"/>
            <w:gridSpan w:val="3"/>
            <w:tcBorders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jc w:val="left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казенное военное образовательное </w:t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417" w:type="dxa"/>
            <w:gridSpan w:val="2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Имя:</w:t>
            </w:r>
          </w:p>
        </w:tc>
        <w:tc>
          <w:tcPr>
            <w:tcW w:w="3543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jc w:val="left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учреждение высшего образования </w:t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417" w:type="dxa"/>
            <w:gridSpan w:val="2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Отчество:</w:t>
            </w:r>
          </w:p>
        </w:tc>
        <w:tc>
          <w:tcPr>
            <w:tcW w:w="3543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jc w:val="left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25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«</w:t>
            </w:r>
            <w:r>
              <w:rPr>
                <w:rFonts w:eastAsia="Source Han Sans CN Regular" w:cs="PT Astra Serif;Times New Roman" w:ascii="PT Astra Serif;Times New Roman" w:hAnsi="PT Astra Serif;Times New Roman"/>
                <w:color w:val="auto"/>
                <w:kern w:val="2"/>
                <w:sz w:val="28"/>
                <w:szCs w:val="28"/>
                <w:lang w:val="ru-RU" w:eastAsia="zh-CN" w:bidi="ru-RU"/>
              </w:rPr>
              <w:t>Военная ордена Жукова академия</w:t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5085" w:type="dxa"/>
            <w:gridSpan w:val="6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Место работы, должность:</w:t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войск национальной гвардии</w:t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5085" w:type="dxa"/>
            <w:gridSpan w:val="6"/>
            <w:tcBorders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Российской Федерации»</w:t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5085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5085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ОГРН 1037819005047</w:t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5085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ИНН 7807038333</w:t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5085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>КПП 780701001</w:t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5085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Normal"/>
              <w:widowControl w:val="false"/>
              <w:bidi w:val="0"/>
              <w:rPr>
                <w:rFonts w:ascii="PT Astra Serif;Times New Roman" w:hAnsi="PT Astra Serif;Times New Roman" w:cs="PT Astra Serif;Times New Roman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</w:rPr>
              <w:t>ул. Летчика Пилютова, д. 1,</w:t>
            </w:r>
          </w:p>
        </w:tc>
        <w:tc>
          <w:tcPr>
            <w:tcW w:w="283" w:type="dxa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  <w:tc>
          <w:tcPr>
            <w:tcW w:w="5085" w:type="dxa"/>
            <w:gridSpan w:val="6"/>
            <w:tcBorders/>
          </w:tcPr>
          <w:p>
            <w:pPr>
              <w:pStyle w:val="Normal"/>
              <w:widowControl w:val="false"/>
              <w:bidi w:val="0"/>
              <w:rPr>
                <w:rFonts w:ascii="PT Astra Serif;Times New Roman" w:hAnsi="PT Astra Serif;Times New Roman" w:cs="PT Astra Serif;Times New Roman"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Cs/>
                <w:sz w:val="28"/>
                <w:szCs w:val="28"/>
              </w:rPr>
              <w:t>Адрес (с указанием индекса):</w:t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Normal"/>
              <w:widowControl w:val="false"/>
              <w:bidi w:val="0"/>
              <w:rPr>
                <w:rFonts w:ascii="PT Astra Serif;Times New Roman" w:hAnsi="PT Astra Serif;Times New Roman" w:cs="PT Astra Serif;Times New Roman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</w:rPr>
              <w:t>Санкт-Петербург, 198206</w:t>
            </w:r>
          </w:p>
        </w:tc>
        <w:tc>
          <w:tcPr>
            <w:tcW w:w="283" w:type="dxa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  <w:tc>
          <w:tcPr>
            <w:tcW w:w="5085" w:type="dxa"/>
            <w:gridSpan w:val="6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Normal"/>
              <w:widowControl w:val="false"/>
              <w:bidi w:val="0"/>
              <w:rPr>
                <w:rFonts w:ascii="PT Astra Serif;Times New Roman" w:hAnsi="PT Astra Serif;Times New Roman" w:cs="PT Astra Serif;Times New Roman"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</w:rPr>
              <w:t>Тел. (812) 744-70-92</w:t>
            </w:r>
          </w:p>
        </w:tc>
        <w:tc>
          <w:tcPr>
            <w:tcW w:w="283" w:type="dxa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  <w:tc>
          <w:tcPr>
            <w:tcW w:w="5085" w:type="dxa"/>
            <w:gridSpan w:val="6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Normal"/>
              <w:widowControl w:val="false"/>
              <w:bidi w:val="0"/>
              <w:rPr>
                <w:rFonts w:ascii="PT Astra Serif;Times New Roman" w:hAnsi="PT Astra Serif;Times New Roman" w:cs="PT Astra Serif;Times New Roman"/>
                <w:sz w:val="28"/>
                <w:szCs w:val="28"/>
                <w:lang w:val="en-US"/>
              </w:rPr>
            </w:pPr>
            <w:r>
              <w:rPr>
                <w:rFonts w:cs="PT Astra Serif;Times New Roman" w:ascii="PT Astra Serif;Times New Roman" w:hAnsi="PT Astra Serif;Times New Roman"/>
                <w:sz w:val="28"/>
                <w:szCs w:val="28"/>
                <w:lang w:val="en-US"/>
              </w:rPr>
              <w:t>E-mail: nio@spvi.ru;</w:t>
            </w:r>
          </w:p>
        </w:tc>
        <w:tc>
          <w:tcPr>
            <w:tcW w:w="283" w:type="dxa"/>
            <w:tcBorders/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lang w:val="en-US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lang w:val="en-US"/>
              </w:rPr>
            </w:r>
          </w:p>
        </w:tc>
        <w:tc>
          <w:tcPr>
            <w:tcW w:w="5085" w:type="dxa"/>
            <w:gridSpan w:val="6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lang w:val="en-US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lang w:val="en-US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WW"/>
              <w:widowControl w:val="false"/>
              <w:bidi w:val="0"/>
              <w:snapToGrid w:val="false"/>
              <w:ind w:left="0" w:right="0" w:firstLine="851"/>
              <w:jc w:val="left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  <w:lang w:val="en-US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  <w:lang w:val="en-US"/>
              </w:rPr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  <w:lang w:val="en-US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  <w:lang w:val="en-US"/>
              </w:rPr>
            </w:r>
          </w:p>
        </w:tc>
        <w:tc>
          <w:tcPr>
            <w:tcW w:w="5085" w:type="dxa"/>
            <w:gridSpan w:val="6"/>
            <w:tcBorders>
              <w:top w:val="single" w:sz="4" w:space="0" w:color="000000"/>
            </w:tcBorders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Телефоны (с указанием кода </w:t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WW"/>
              <w:widowControl w:val="false"/>
              <w:bidi w:val="0"/>
              <w:snapToGrid w:val="false"/>
              <w:jc w:val="left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5085" w:type="dxa"/>
            <w:gridSpan w:val="6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szCs w:val="28"/>
              </w:rPr>
              <w:t xml:space="preserve">населенного пункта): </w:t>
            </w:r>
          </w:p>
        </w:tc>
      </w:tr>
      <w:tr>
        <w:trPr/>
        <w:tc>
          <w:tcPr>
            <w:tcW w:w="4503" w:type="dxa"/>
            <w:gridSpan w:val="3"/>
            <w:tcBorders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jc w:val="right"/>
              <w:rPr/>
            </w:pPr>
            <w:r>
              <w:rPr/>
              <w:t>А.Ю. Кийко</w:t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580" w:type="dxa"/>
            <w:gridSpan w:val="3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Cs/>
                <w:szCs w:val="28"/>
              </w:rPr>
              <w:t>рабочий</w:t>
            </w:r>
          </w:p>
        </w:tc>
        <w:tc>
          <w:tcPr>
            <w:tcW w:w="3505" w:type="dxa"/>
            <w:gridSpan w:val="3"/>
            <w:tcBorders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jc w:val="left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>
              <w:top w:val="single" w:sz="4" w:space="0" w:color="000000"/>
            </w:tcBorders>
          </w:tcPr>
          <w:p>
            <w:pPr>
              <w:pStyle w:val="WW"/>
              <w:widowControl w:val="false"/>
              <w:bidi w:val="0"/>
              <w:ind w:left="0" w:right="0" w:firstLine="567"/>
              <w:rPr>
                <w:rFonts w:ascii="PT Astra Serif;Times New Roman" w:hAnsi="PT Astra Serif;Times New Roman" w:cs="PT Astra Serif;Times New Roman"/>
                <w:sz w:val="20"/>
                <w:szCs w:val="20"/>
              </w:rPr>
            </w:pPr>
            <w:r>
              <w:rPr>
                <w:rFonts w:cs="PT Astra Serif;Times New Roman" w:ascii="PT Astra Serif;Times New Roman" w:hAnsi="PT Astra Serif;Times New Roman"/>
                <w:sz w:val="20"/>
                <w:szCs w:val="20"/>
              </w:rPr>
              <w:t>(подпись)                  (инициалы и фамилия)</w:t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580" w:type="dxa"/>
            <w:gridSpan w:val="3"/>
            <w:tcBorders/>
          </w:tcPr>
          <w:p>
            <w:pPr>
              <w:pStyle w:val="WW"/>
              <w:widowControl w:val="false"/>
              <w:bidi w:val="0"/>
              <w:jc w:val="left"/>
              <w:rPr>
                <w:rFonts w:ascii="PT Astra Serif;Times New Roman" w:hAnsi="PT Astra Serif;Times New Roman" w:cs="PT Astra Serif;Times New Roman"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Cs/>
                <w:szCs w:val="28"/>
              </w:rPr>
              <w:t>мобильный</w:t>
            </w:r>
          </w:p>
        </w:tc>
        <w:tc>
          <w:tcPr>
            <w:tcW w:w="350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</w:tr>
      <w:tr>
        <w:trPr/>
        <w:tc>
          <w:tcPr>
            <w:tcW w:w="4503" w:type="dxa"/>
            <w:gridSpan w:val="3"/>
            <w:tcBorders/>
          </w:tcPr>
          <w:p>
            <w:pPr>
              <w:pStyle w:val="WW"/>
              <w:widowControl w:val="false"/>
              <w:bidi w:val="0"/>
              <w:snapToGrid w:val="false"/>
              <w:jc w:val="left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1580" w:type="dxa"/>
            <w:gridSpan w:val="3"/>
            <w:tcBorders/>
          </w:tcPr>
          <w:p>
            <w:pPr>
              <w:pStyle w:val="WW"/>
              <w:widowControl w:val="false"/>
              <w:bidi w:val="0"/>
              <w:jc w:val="left"/>
              <w:rPr/>
            </w:pPr>
            <w:r>
              <w:rPr>
                <w:rFonts w:cs="PT Astra Serif;Times New Roman" w:ascii="PT Astra Serif;Times New Roman" w:hAnsi="PT Astra Serif;Times New Roman"/>
                <w:szCs w:val="28"/>
                <w:lang w:val="en-US"/>
              </w:rPr>
              <w:t>E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-</w:t>
            </w:r>
            <w:r>
              <w:rPr>
                <w:rFonts w:cs="PT Astra Serif;Times New Roman" w:ascii="PT Astra Serif;Times New Roman" w:hAnsi="PT Astra Serif;Times New Roman"/>
                <w:szCs w:val="28"/>
                <w:lang w:val="en-US"/>
              </w:rPr>
              <w:t>mail</w:t>
            </w:r>
            <w:r>
              <w:rPr>
                <w:rFonts w:cs="PT Astra Serif;Times New Roman" w:ascii="PT Astra Serif;Times New Roman" w:hAnsi="PT Astra Serif;Times New Roman"/>
                <w:szCs w:val="28"/>
              </w:rPr>
              <w:t>:</w:t>
            </w:r>
          </w:p>
        </w:tc>
        <w:tc>
          <w:tcPr>
            <w:tcW w:w="350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jc w:val="left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</w:tr>
      <w:tr>
        <w:trPr/>
        <w:tc>
          <w:tcPr>
            <w:tcW w:w="2288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  <w:tc>
          <w:tcPr>
            <w:tcW w:w="2215" w:type="dxa"/>
            <w:gridSpan w:val="2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2348" w:type="dxa"/>
            <w:gridSpan w:val="4"/>
            <w:tcBorders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jc w:val="left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2737" w:type="dxa"/>
            <w:gridSpan w:val="2"/>
            <w:tcBorders>
              <w:bottom w:val="single" w:sz="4" w:space="0" w:color="000000"/>
            </w:tcBorders>
          </w:tcPr>
          <w:p>
            <w:pPr>
              <w:pStyle w:val="WW"/>
              <w:widowControl w:val="false"/>
              <w:bidi w:val="0"/>
              <w:snapToGrid w:val="false"/>
              <w:jc w:val="left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</w:tr>
      <w:tr>
        <w:trPr/>
        <w:tc>
          <w:tcPr>
            <w:tcW w:w="2288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 w:val="28"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 w:val="28"/>
                <w:szCs w:val="28"/>
              </w:rPr>
            </w:r>
          </w:p>
        </w:tc>
        <w:tc>
          <w:tcPr>
            <w:tcW w:w="2215" w:type="dxa"/>
            <w:gridSpan w:val="2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283" w:type="dxa"/>
            <w:tcBorders/>
          </w:tcPr>
          <w:p>
            <w:pPr>
              <w:pStyle w:val="WW"/>
              <w:widowControl w:val="false"/>
              <w:bidi w:val="0"/>
              <w:snapToGrid w:val="false"/>
              <w:rPr>
                <w:rFonts w:ascii="PT Astra Serif;Times New Roman" w:hAnsi="PT Astra Serif;Times New Roman" w:cs="PT Astra Serif;Times New Roman"/>
                <w:b/>
                <w:b/>
                <w:bCs/>
                <w:szCs w:val="28"/>
              </w:rPr>
            </w:pPr>
            <w:r>
              <w:rPr>
                <w:rFonts w:cs="PT Astra Serif;Times New Roman" w:ascii="PT Astra Serif;Times New Roman" w:hAnsi="PT Astra Serif;Times New Roman"/>
                <w:b/>
                <w:bCs/>
                <w:szCs w:val="28"/>
              </w:rPr>
            </w:r>
          </w:p>
        </w:tc>
        <w:tc>
          <w:tcPr>
            <w:tcW w:w="2348" w:type="dxa"/>
            <w:gridSpan w:val="4"/>
            <w:tcBorders>
              <w:top w:val="single" w:sz="4" w:space="0" w:color="000000"/>
            </w:tcBorders>
          </w:tcPr>
          <w:p>
            <w:pPr>
              <w:pStyle w:val="WW"/>
              <w:widowControl w:val="false"/>
              <w:bidi w:val="0"/>
              <w:rPr>
                <w:rFonts w:ascii="PT Astra Serif;Times New Roman" w:hAnsi="PT Astra Serif;Times New Roman" w:cs="PT Astra Serif;Times New Roman"/>
                <w:bCs/>
                <w:sz w:val="20"/>
                <w:szCs w:val="20"/>
              </w:rPr>
            </w:pPr>
            <w:r>
              <w:rPr>
                <w:rFonts w:cs="PT Astra Serif;Times New Roman" w:ascii="PT Astra Serif;Times New Roman" w:hAnsi="PT Astra Serif;Times New Roman"/>
                <w:bCs/>
                <w:sz w:val="20"/>
                <w:szCs w:val="20"/>
              </w:rPr>
              <w:t>(подпись)</w:t>
            </w:r>
          </w:p>
        </w:tc>
        <w:tc>
          <w:tcPr>
            <w:tcW w:w="2737" w:type="dxa"/>
            <w:gridSpan w:val="2"/>
            <w:tcBorders/>
          </w:tcPr>
          <w:p>
            <w:pPr>
              <w:pStyle w:val="WW"/>
              <w:widowControl w:val="false"/>
              <w:bidi w:val="0"/>
              <w:rPr>
                <w:rFonts w:ascii="PT Astra Serif;Times New Roman" w:hAnsi="PT Astra Serif;Times New Roman" w:cs="PT Astra Serif;Times New Roman"/>
                <w:sz w:val="20"/>
                <w:szCs w:val="20"/>
              </w:rPr>
            </w:pPr>
            <w:r>
              <w:rPr>
                <w:rFonts w:cs="PT Astra Serif;Times New Roman" w:ascii="PT Astra Serif;Times New Roman" w:hAnsi="PT Astra Serif;Times New Roman"/>
                <w:sz w:val="20"/>
                <w:szCs w:val="20"/>
              </w:rPr>
              <w:t>(инициалы и фамилия)</w:t>
            </w:r>
          </w:p>
        </w:tc>
      </w:tr>
    </w:tbl>
    <w:p>
      <w:pPr>
        <w:pStyle w:val="Normal"/>
        <w:bidi w:val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567" w:header="567" w:top="1134" w:footer="567" w:bottom="1134" w:gutter="0"/>
      <w:pgNumType w:fmt="decimal"/>
      <w:formProt w:val="false"/>
      <w:titlePg/>
      <w:textDirection w:val="lrTb"/>
      <w:docGrid w:type="default" w:linePitch="60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PT Astra Serif">
    <w:altName w:val="Times New Roman"/>
    <w:charset w:val="01"/>
    <w:family w:val="roman"/>
    <w:pitch w:val="variable"/>
  </w:font>
  <w:font w:name="PT Astra Serif"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54"/>
      <w:bidi w:val="0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51"/>
      <w:bidi w:val="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0" w:firstLine="709"/>
      </w:p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0" w:firstLine="709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0" w:firstLine="709"/>
      </w:pPr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0" w:firstLine="709"/>
      </w:pPr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0" w:firstLine="709"/>
      </w:pPr>
    </w:lvl>
    <w:lvl w:ilvl="5">
      <w:start w:val="1"/>
      <w:numFmt w:val="decimal"/>
      <w:suff w:val="space"/>
      <w:lvlText w:val="%1.%2.%3.%4.%5.%6."/>
      <w:lvlJc w:val="left"/>
      <w:pPr>
        <w:tabs>
          <w:tab w:val="num" w:pos="0"/>
        </w:tabs>
        <w:ind w:left="0" w:firstLine="709"/>
      </w:pPr>
    </w:lvl>
    <w:lvl w:ilvl="6">
      <w:start w:val="1"/>
      <w:numFmt w:val="decimal"/>
      <w:suff w:val="space"/>
      <w:lvlText w:val="%1.%2.%3.%4.%5.%6.%7."/>
      <w:lvlJc w:val="left"/>
      <w:pPr>
        <w:tabs>
          <w:tab w:val="num" w:pos="0"/>
        </w:tabs>
        <w:ind w:left="0" w:firstLine="709"/>
      </w:pPr>
    </w:lvl>
    <w:lvl w:ilvl="7">
      <w:start w:val="1"/>
      <w:numFmt w:val="decimal"/>
      <w:suff w:val="space"/>
      <w:lvlText w:val="%1.%2.%3.%4.%5.%6.%7.%8."/>
      <w:lvlJc w:val="left"/>
      <w:pPr>
        <w:tabs>
          <w:tab w:val="num" w:pos="0"/>
        </w:tabs>
        <w:ind w:left="0" w:firstLine="709"/>
      </w:pPr>
    </w:lvl>
    <w:lvl w:ilvl="8">
      <w:start w:val="1"/>
      <w:numFmt w:val="decimal"/>
      <w:suff w:val="space"/>
      <w:lvlText w:val="%1.%2.%3.%4.%5.%6.%7.%8.%9."/>
      <w:lvlJc w:val="left"/>
      <w:pPr>
        <w:tabs>
          <w:tab w:val="num" w:pos="0"/>
        </w:tabs>
        <w:ind w:left="0" w:firstLine="709"/>
      </w:pPr>
    </w:lvl>
  </w:abstractNum>
  <w:abstractNum w:abstractNumId="2">
    <w:lvl w:ilvl="0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1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2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3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4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5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6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7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8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lineRule="auto" w:line="240" w:before="0" w:after="0"/>
      <w:jc w:val="center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ru-RU"/>
    </w:rPr>
  </w:style>
  <w:style w:type="paragraph" w:styleId="1">
    <w:name w:val="Heading 1"/>
    <w:basedOn w:val="Style31"/>
    <w:next w:val="BodyTextIndent"/>
    <w:qFormat/>
    <w:pPr>
      <w:spacing w:before="0" w:after="0"/>
      <w:outlineLvl w:val="0"/>
    </w:pPr>
    <w:rPr/>
  </w:style>
  <w:style w:type="paragraph" w:styleId="2">
    <w:name w:val="Heading 2"/>
    <w:basedOn w:val="Style31"/>
    <w:next w:val="Style32"/>
    <w:qFormat/>
    <w:pPr>
      <w:spacing w:before="0" w:after="0"/>
      <w:outlineLvl w:val="1"/>
    </w:pPr>
    <w:rPr/>
  </w:style>
  <w:style w:type="paragraph" w:styleId="3">
    <w:name w:val="Heading 3"/>
    <w:basedOn w:val="Style31"/>
    <w:next w:val="Style32"/>
    <w:qFormat/>
    <w:pPr>
      <w:spacing w:before="0" w:after="0"/>
      <w:outlineLvl w:val="2"/>
    </w:pPr>
    <w:rPr/>
  </w:style>
  <w:style w:type="paragraph" w:styleId="4">
    <w:name w:val="Heading 4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5">
    <w:name w:val="Heading 5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6">
    <w:name w:val="Heading 6"/>
    <w:basedOn w:val="Style31"/>
    <w:next w:val="Style32"/>
    <w:qFormat/>
    <w:pPr>
      <w:numPr>
        <w:ilvl w:val="0"/>
        <w:numId w:val="0"/>
      </w:numPr>
    </w:pPr>
    <w:rPr/>
  </w:style>
  <w:style w:type="paragraph" w:styleId="7">
    <w:name w:val="Heading 7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8">
    <w:name w:val="Heading 8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9">
    <w:name w:val="Heading 9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character" w:styleId="Style5">
    <w:name w:val="Символ нумерации"/>
    <w:qFormat/>
    <w:rPr/>
  </w:style>
  <w:style w:type="character" w:styleId="Style6">
    <w:name w:val="Маркеры"/>
    <w:qFormat/>
    <w:rPr>
      <w:rFonts w:ascii="OpenSymbol" w:hAnsi="OpenSymbol" w:eastAsia="OpenSymbol" w:cs="OpenSymbol"/>
    </w:rPr>
  </w:style>
  <w:style w:type="character" w:styleId="Style7">
    <w:name w:val="Символ сноски"/>
    <w:qFormat/>
    <w:rPr/>
  </w:style>
  <w:style w:type="character" w:styleId="Style8">
    <w:name w:val="Привязка сноски"/>
    <w:rPr>
      <w:vertAlign w:val="superscript"/>
    </w:rPr>
  </w:style>
  <w:style w:type="character" w:styleId="Style9">
    <w:name w:val="Номер страницы"/>
    <w:rPr/>
  </w:style>
  <w:style w:type="character" w:styleId="Style10">
    <w:name w:val="Символы названия"/>
    <w:qFormat/>
    <w:rPr/>
  </w:style>
  <w:style w:type="character" w:styleId="Style11">
    <w:name w:val="Буквица"/>
    <w:qFormat/>
    <w:rPr/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character" w:styleId="Style13">
    <w:name w:val="Посещённая гиперссылка"/>
    <w:rPr>
      <w:color w:val="800000"/>
      <w:u w:val="single"/>
      <w:lang w:val="zxx" w:eastAsia="zxx" w:bidi="zxx"/>
    </w:rPr>
  </w:style>
  <w:style w:type="character" w:styleId="Style14">
    <w:name w:val="Заполнитель"/>
    <w:qFormat/>
    <w:rPr>
      <w:smallCaps/>
      <w:color w:val="008080"/>
      <w:u w:val="dotted"/>
    </w:rPr>
  </w:style>
  <w:style w:type="character" w:styleId="Style15">
    <w:name w:val="Ссылка указателя"/>
    <w:qFormat/>
    <w:rPr/>
  </w:style>
  <w:style w:type="character" w:styleId="Style16">
    <w:name w:val="Символ концевой сноски"/>
    <w:qFormat/>
    <w:rPr/>
  </w:style>
  <w:style w:type="character" w:styleId="Style17">
    <w:name w:val="Нумерация строк"/>
    <w:rPr/>
  </w:style>
  <w:style w:type="character" w:styleId="Style18">
    <w:name w:val="Основной элемент указателя"/>
    <w:qFormat/>
    <w:rPr>
      <w:b/>
      <w:bCs/>
    </w:rPr>
  </w:style>
  <w:style w:type="character" w:styleId="Style19">
    <w:name w:val="Привязка концевой сноски"/>
    <w:rPr>
      <w:vertAlign w:val="superscript"/>
    </w:rPr>
  </w:style>
  <w:style w:type="character" w:styleId="Style20">
    <w:name w:val="Фуригана"/>
    <w:qFormat/>
    <w:rPr>
      <w:sz w:val="12"/>
      <w:szCs w:val="12"/>
      <w:u w:val="none"/>
      <w:em w:val="none"/>
    </w:rPr>
  </w:style>
  <w:style w:type="character" w:styleId="Style21">
    <w:name w:val="Вертикальное направление символов"/>
    <w:qFormat/>
    <w:rPr>
      <w:eastAsianLayout w:vert="true"/>
    </w:rPr>
  </w:style>
  <w:style w:type="character" w:styleId="Style22">
    <w:name w:val="Выделение"/>
    <w:qFormat/>
    <w:rPr>
      <w:i/>
      <w:iCs/>
    </w:rPr>
  </w:style>
  <w:style w:type="character" w:styleId="Style23">
    <w:name w:val="Цитата"/>
    <w:qFormat/>
    <w:rPr>
      <w:i/>
      <w:iCs/>
    </w:rPr>
  </w:style>
  <w:style w:type="character" w:styleId="Style24">
    <w:name w:val="Выделение жирным"/>
    <w:qFormat/>
    <w:rPr>
      <w:b/>
      <w:bCs/>
    </w:rPr>
  </w:style>
  <w:style w:type="character" w:styleId="Style25">
    <w:name w:val="Исходный текст"/>
    <w:qFormat/>
    <w:rPr>
      <w:rFonts w:ascii="Liberation Mono" w:hAnsi="Liberation Mono" w:eastAsia="Liberation Mono" w:cs="Liberation Mono"/>
    </w:rPr>
  </w:style>
  <w:style w:type="character" w:styleId="Style26">
    <w:name w:val="Пример"/>
    <w:qFormat/>
    <w:rPr>
      <w:rFonts w:ascii="Liberation Mono" w:hAnsi="Liberation Mono" w:eastAsia="Liberation Mono" w:cs="Liberation Mono"/>
    </w:rPr>
  </w:style>
  <w:style w:type="character" w:styleId="Style27">
    <w:name w:val="Ввод пользователя"/>
    <w:qFormat/>
    <w:rPr>
      <w:rFonts w:ascii="Liberation Mono" w:hAnsi="Liberation Mono" w:eastAsia="Liberation Mono" w:cs="Liberation Mono"/>
    </w:rPr>
  </w:style>
  <w:style w:type="character" w:styleId="Style28">
    <w:name w:val="Переменная"/>
    <w:qFormat/>
    <w:rPr>
      <w:i/>
      <w:iCs/>
    </w:rPr>
  </w:style>
  <w:style w:type="character" w:styleId="Style29">
    <w:name w:val="Определение"/>
    <w:qFormat/>
    <w:rPr/>
  </w:style>
  <w:style w:type="character" w:styleId="Style30">
    <w:name w:val="Непропорциональный текст"/>
    <w:qFormat/>
    <w:rPr>
      <w:rFonts w:ascii="Liberation Mono" w:hAnsi="Liberation Mono" w:eastAsia="Liberation Mono" w:cs="Liberation Mono"/>
    </w:rPr>
  </w:style>
  <w:style w:type="paragraph" w:styleId="Style31">
    <w:name w:val="Заголовок"/>
    <w:basedOn w:val="Normal"/>
    <w:next w:val="BodyTextIndent"/>
    <w:qFormat/>
    <w:pPr>
      <w:keepNext w:val="false"/>
      <w:spacing w:before="0" w:after="0"/>
      <w:jc w:val="center"/>
    </w:pPr>
    <w:rPr>
      <w:b/>
    </w:rPr>
  </w:style>
  <w:style w:type="paragraph" w:styleId="Style32">
    <w:name w:val="Body Text"/>
    <w:basedOn w:val="Normal"/>
    <w:pPr>
      <w:jc w:val="both"/>
    </w:pPr>
    <w:rPr/>
  </w:style>
  <w:style w:type="paragraph" w:styleId="Style33">
    <w:name w:val="List"/>
    <w:basedOn w:val="Style32"/>
    <w:pPr/>
    <w:rPr>
      <w:rFonts w:cs="Lohit Devanagari"/>
    </w:rPr>
  </w:style>
  <w:style w:type="paragraph" w:styleId="Style34">
    <w:name w:val="Caption"/>
    <w:basedOn w:val="Normal"/>
    <w:qFormat/>
    <w:pPr>
      <w:spacing w:before="0" w:after="0"/>
    </w:pPr>
    <w:rPr>
      <w:rFonts w:cs="Lohit Devanagari"/>
      <w:i w:val="false"/>
      <w:iCs w:val="false"/>
      <w:sz w:val="28"/>
      <w:szCs w:val="24"/>
    </w:rPr>
  </w:style>
  <w:style w:type="paragraph" w:styleId="Style35">
    <w:name w:val="Указатель"/>
    <w:basedOn w:val="Normal"/>
    <w:qFormat/>
    <w:pPr>
      <w:jc w:val="left"/>
    </w:pPr>
    <w:rPr>
      <w:rFonts w:cs="Lohit Devanagari"/>
    </w:rPr>
  </w:style>
  <w:style w:type="paragraph" w:styleId="Style36">
    <w:name w:val="Блочная цитата"/>
    <w:basedOn w:val="Normal"/>
    <w:qFormat/>
    <w:pPr>
      <w:spacing w:before="0" w:after="0"/>
      <w:ind w:left="0" w:right="0" w:hanging="0"/>
    </w:pPr>
    <w:rPr/>
  </w:style>
  <w:style w:type="paragraph" w:styleId="Style37">
    <w:name w:val="Title"/>
    <w:basedOn w:val="Normal"/>
    <w:next w:val="BodyTextIndent"/>
    <w:qFormat/>
    <w:pPr>
      <w:spacing w:before="0" w:after="170"/>
    </w:pPr>
    <w:rPr>
      <w:b/>
    </w:rPr>
  </w:style>
  <w:style w:type="paragraph" w:styleId="Style38">
    <w:name w:val="Subtitle"/>
    <w:basedOn w:val="Normal"/>
    <w:next w:val="BodyTextIndent"/>
    <w:qFormat/>
    <w:pPr>
      <w:spacing w:before="0" w:after="0"/>
      <w:ind w:left="709" w:right="0" w:hanging="0"/>
      <w:jc w:val="both"/>
    </w:pPr>
    <w:rPr>
      <w:b/>
    </w:rPr>
  </w:style>
  <w:style w:type="paragraph" w:styleId="BodyTextIndent">
    <w:name w:val="Body Text Indent"/>
    <w:basedOn w:val="Normal"/>
    <w:qFormat/>
    <w:pPr>
      <w:ind w:left="0" w:right="0" w:firstLine="709"/>
      <w:jc w:val="both"/>
    </w:pPr>
    <w:rPr/>
  </w:style>
  <w:style w:type="paragraph" w:styleId="Style39">
    <w:name w:val="Обратный отступ"/>
    <w:basedOn w:val="Style32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Style40">
    <w:name w:val="Body Text Indent"/>
    <w:basedOn w:val="Style32"/>
    <w:pPr>
      <w:ind w:left="0" w:right="0" w:hanging="0"/>
    </w:pPr>
    <w:rPr/>
  </w:style>
  <w:style w:type="paragraph" w:styleId="Style41">
    <w:name w:val="Salutation"/>
    <w:basedOn w:val="Normal"/>
    <w:pPr/>
    <w:rPr/>
  </w:style>
  <w:style w:type="paragraph" w:styleId="Style42">
    <w:name w:val="Signature"/>
    <w:basedOn w:val="Normal"/>
    <w:pPr>
      <w:tabs>
        <w:tab w:val="clear" w:pos="709"/>
        <w:tab w:val="right" w:pos="31748" w:leader="none"/>
      </w:tabs>
      <w:ind w:left="0" w:right="0" w:hanging="0"/>
      <w:jc w:val="left"/>
    </w:pPr>
    <w:rPr/>
  </w:style>
  <w:style w:type="paragraph" w:styleId="Style43">
    <w:name w:val="Отступы"/>
    <w:basedOn w:val="Style32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AnnotationText">
    <w:name w:val="Annotation Text"/>
    <w:basedOn w:val="Style32"/>
    <w:qFormat/>
    <w:pPr>
      <w:ind w:left="0" w:right="0" w:hanging="0"/>
    </w:pPr>
    <w:rPr/>
  </w:style>
  <w:style w:type="paragraph" w:styleId="10">
    <w:name w:val="Заголовок 10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11">
    <w:name w:val="Начало нумерованного списка 1"/>
    <w:basedOn w:val="Style33"/>
    <w:next w:val="31"/>
    <w:qFormat/>
    <w:pPr>
      <w:spacing w:before="0" w:after="0"/>
      <w:ind w:left="0" w:right="0" w:hanging="0"/>
    </w:pPr>
    <w:rPr/>
  </w:style>
  <w:style w:type="paragraph" w:styleId="31">
    <w:name w:val="List Bullet 4"/>
    <w:basedOn w:val="Style33"/>
    <w:pPr>
      <w:numPr>
        <w:ilvl w:val="0"/>
        <w:numId w:val="1"/>
      </w:numPr>
      <w:spacing w:before="0" w:after="0"/>
    </w:pPr>
    <w:rPr/>
  </w:style>
  <w:style w:type="paragraph" w:styleId="12">
    <w:name w:val="Конец нумерованного списка 1"/>
    <w:basedOn w:val="Style33"/>
    <w:next w:val="31"/>
    <w:qFormat/>
    <w:pPr>
      <w:spacing w:before="0" w:after="0"/>
      <w:ind w:left="0" w:right="0" w:hanging="0"/>
    </w:pPr>
    <w:rPr/>
  </w:style>
  <w:style w:type="paragraph" w:styleId="13">
    <w:name w:val="Продолжение нумерованного списка 1"/>
    <w:basedOn w:val="Style33"/>
    <w:qFormat/>
    <w:pPr>
      <w:spacing w:before="0" w:after="0"/>
      <w:ind w:left="0" w:right="0" w:hanging="0"/>
    </w:pPr>
    <w:rPr/>
  </w:style>
  <w:style w:type="paragraph" w:styleId="21">
    <w:name w:val="Начало нумерованного списка 2"/>
    <w:basedOn w:val="Style33"/>
    <w:next w:val="ListNumber2"/>
    <w:qFormat/>
    <w:pPr>
      <w:spacing w:before="0" w:after="0"/>
      <w:ind w:left="0" w:right="0" w:hanging="0"/>
    </w:pPr>
    <w:rPr/>
  </w:style>
  <w:style w:type="paragraph" w:styleId="ListNumber2">
    <w:name w:val="List Number 2"/>
    <w:basedOn w:val="Style33"/>
    <w:qFormat/>
    <w:pPr>
      <w:spacing w:before="0" w:after="0"/>
      <w:ind w:left="0" w:right="0" w:hanging="0"/>
    </w:pPr>
    <w:rPr/>
  </w:style>
  <w:style w:type="paragraph" w:styleId="22">
    <w:name w:val="Конец нумерованного списка 2"/>
    <w:basedOn w:val="Style33"/>
    <w:next w:val="ListNumber2"/>
    <w:qFormat/>
    <w:pPr>
      <w:spacing w:before="0" w:after="0"/>
      <w:ind w:left="0" w:right="0" w:hanging="0"/>
    </w:pPr>
    <w:rPr/>
  </w:style>
  <w:style w:type="paragraph" w:styleId="23">
    <w:name w:val="Продолжение нумерованного списка 2"/>
    <w:basedOn w:val="Style33"/>
    <w:qFormat/>
    <w:pPr>
      <w:spacing w:before="0" w:after="0"/>
      <w:ind w:left="0" w:right="0" w:hanging="0"/>
    </w:pPr>
    <w:rPr/>
  </w:style>
  <w:style w:type="paragraph" w:styleId="32">
    <w:name w:val="Начало нумерованного списка 3"/>
    <w:basedOn w:val="Style33"/>
    <w:next w:val="ListNumber3"/>
    <w:qFormat/>
    <w:pPr>
      <w:spacing w:before="0" w:after="0"/>
      <w:ind w:left="0" w:right="0" w:hanging="0"/>
    </w:pPr>
    <w:rPr/>
  </w:style>
  <w:style w:type="paragraph" w:styleId="ListNumber3">
    <w:name w:val="List Number 3"/>
    <w:basedOn w:val="Style33"/>
    <w:qFormat/>
    <w:pPr>
      <w:spacing w:before="0" w:after="0"/>
      <w:ind w:left="0" w:right="0" w:hanging="0"/>
    </w:pPr>
    <w:rPr/>
  </w:style>
  <w:style w:type="paragraph" w:styleId="33">
    <w:name w:val="Конец нумерованного списка 3"/>
    <w:basedOn w:val="Style33"/>
    <w:next w:val="ListNumber3"/>
    <w:qFormat/>
    <w:pPr>
      <w:spacing w:before="0" w:after="0"/>
      <w:ind w:left="0" w:right="0" w:hanging="0"/>
    </w:pPr>
    <w:rPr/>
  </w:style>
  <w:style w:type="paragraph" w:styleId="34">
    <w:name w:val="Продолжение нумерованного списка 3"/>
    <w:basedOn w:val="Style33"/>
    <w:qFormat/>
    <w:pPr>
      <w:spacing w:before="0" w:after="0"/>
      <w:ind w:left="0" w:right="0" w:hanging="0"/>
    </w:pPr>
    <w:rPr/>
  </w:style>
  <w:style w:type="paragraph" w:styleId="41">
    <w:name w:val="Начало нумерованного списка 4"/>
    <w:basedOn w:val="Style33"/>
    <w:next w:val="ListNumber4"/>
    <w:qFormat/>
    <w:pPr>
      <w:spacing w:before="0" w:after="0"/>
      <w:ind w:left="0" w:right="0" w:hanging="0"/>
    </w:pPr>
    <w:rPr/>
  </w:style>
  <w:style w:type="paragraph" w:styleId="ListNumber4">
    <w:name w:val="List Number 4"/>
    <w:basedOn w:val="Style33"/>
    <w:qFormat/>
    <w:pPr>
      <w:spacing w:before="0" w:after="0"/>
      <w:ind w:left="0" w:right="0" w:hanging="0"/>
    </w:pPr>
    <w:rPr/>
  </w:style>
  <w:style w:type="paragraph" w:styleId="42">
    <w:name w:val="Конец нумерованного списка 4"/>
    <w:basedOn w:val="Style33"/>
    <w:next w:val="ListNumber4"/>
    <w:qFormat/>
    <w:pPr>
      <w:spacing w:before="0" w:after="0"/>
      <w:ind w:left="0" w:right="0" w:hanging="0"/>
    </w:pPr>
    <w:rPr/>
  </w:style>
  <w:style w:type="paragraph" w:styleId="43">
    <w:name w:val="Продолжение нумерованного списка 4"/>
    <w:basedOn w:val="Style33"/>
    <w:qFormat/>
    <w:pPr>
      <w:spacing w:before="0" w:after="0"/>
      <w:ind w:left="0" w:right="0" w:hanging="0"/>
    </w:pPr>
    <w:rPr/>
  </w:style>
  <w:style w:type="paragraph" w:styleId="51">
    <w:name w:val="Начало нумерованного списка 5"/>
    <w:basedOn w:val="Style33"/>
    <w:next w:val="ListNumber5"/>
    <w:qFormat/>
    <w:pPr>
      <w:spacing w:before="0" w:after="0"/>
      <w:ind w:left="0" w:right="0" w:hanging="0"/>
    </w:pPr>
    <w:rPr/>
  </w:style>
  <w:style w:type="paragraph" w:styleId="ListNumber5">
    <w:name w:val="List Number 5"/>
    <w:basedOn w:val="Style33"/>
    <w:qFormat/>
    <w:pPr>
      <w:spacing w:before="0" w:after="0"/>
      <w:ind w:left="0" w:right="0" w:hanging="0"/>
    </w:pPr>
    <w:rPr/>
  </w:style>
  <w:style w:type="paragraph" w:styleId="52">
    <w:name w:val="Конец нумерованного списка 5"/>
    <w:basedOn w:val="Style33"/>
    <w:next w:val="ListNumber5"/>
    <w:qFormat/>
    <w:pPr>
      <w:spacing w:before="0" w:after="0"/>
      <w:ind w:left="0" w:right="0" w:hanging="0"/>
    </w:pPr>
    <w:rPr/>
  </w:style>
  <w:style w:type="paragraph" w:styleId="53">
    <w:name w:val="Продолжение нумерованного списка 5"/>
    <w:basedOn w:val="Style33"/>
    <w:qFormat/>
    <w:pPr>
      <w:spacing w:before="0" w:after="0"/>
      <w:ind w:left="0" w:right="0" w:hanging="0"/>
    </w:pPr>
    <w:rPr/>
  </w:style>
  <w:style w:type="paragraph" w:styleId="14">
    <w:name w:val="Список 1 начало"/>
    <w:basedOn w:val="Style33"/>
    <w:next w:val="24"/>
    <w:qFormat/>
    <w:pPr>
      <w:spacing w:before="0" w:after="0"/>
      <w:ind w:left="0" w:right="0" w:hanging="0"/>
    </w:pPr>
    <w:rPr/>
  </w:style>
  <w:style w:type="paragraph" w:styleId="24">
    <w:name w:val="List Bullet 3"/>
    <w:basedOn w:val="Style33"/>
    <w:pPr>
      <w:numPr>
        <w:ilvl w:val="0"/>
        <w:numId w:val="2"/>
      </w:numPr>
      <w:spacing w:before="0" w:after="0"/>
    </w:pPr>
    <w:rPr/>
  </w:style>
  <w:style w:type="paragraph" w:styleId="15">
    <w:name w:val="Список 1 конец"/>
    <w:basedOn w:val="Style33"/>
    <w:next w:val="24"/>
    <w:qFormat/>
    <w:pPr>
      <w:spacing w:before="0" w:after="0"/>
      <w:ind w:left="0" w:right="0" w:hanging="0"/>
    </w:pPr>
    <w:rPr/>
  </w:style>
  <w:style w:type="paragraph" w:styleId="ListContinue">
    <w:name w:val="List Continue"/>
    <w:basedOn w:val="Style33"/>
    <w:qFormat/>
    <w:pPr>
      <w:spacing w:before="0" w:after="0"/>
      <w:ind w:left="0" w:right="0" w:hanging="0"/>
    </w:pPr>
    <w:rPr/>
  </w:style>
  <w:style w:type="paragraph" w:styleId="25">
    <w:name w:val="Список 2 начало"/>
    <w:basedOn w:val="Style33"/>
    <w:next w:val="ListBullet3"/>
    <w:qFormat/>
    <w:pPr>
      <w:spacing w:before="0" w:after="0"/>
      <w:ind w:left="0" w:right="0" w:hanging="0"/>
    </w:pPr>
    <w:rPr/>
  </w:style>
  <w:style w:type="paragraph" w:styleId="ListBullet3">
    <w:name w:val="List Bullet 3"/>
    <w:basedOn w:val="Style33"/>
    <w:qFormat/>
    <w:pPr>
      <w:spacing w:before="0" w:after="0"/>
      <w:ind w:left="0" w:right="0" w:hanging="0"/>
    </w:pPr>
    <w:rPr/>
  </w:style>
  <w:style w:type="paragraph" w:styleId="26">
    <w:name w:val="Список 2 конец"/>
    <w:basedOn w:val="Style33"/>
    <w:next w:val="ListBullet3"/>
    <w:qFormat/>
    <w:pPr>
      <w:spacing w:before="0" w:after="0"/>
      <w:ind w:left="0" w:right="0" w:hanging="0"/>
    </w:pPr>
    <w:rPr/>
  </w:style>
  <w:style w:type="paragraph" w:styleId="ListContinue2">
    <w:name w:val="List Continue 2"/>
    <w:basedOn w:val="Style33"/>
    <w:qFormat/>
    <w:pPr>
      <w:spacing w:before="0" w:after="0"/>
      <w:ind w:left="0" w:right="0" w:hanging="0"/>
    </w:pPr>
    <w:rPr/>
  </w:style>
  <w:style w:type="paragraph" w:styleId="35">
    <w:name w:val="Список 3 начало"/>
    <w:basedOn w:val="Style33"/>
    <w:next w:val="ListBullet4"/>
    <w:qFormat/>
    <w:pPr>
      <w:spacing w:before="0" w:after="0"/>
      <w:ind w:left="0" w:right="0" w:hanging="0"/>
    </w:pPr>
    <w:rPr/>
  </w:style>
  <w:style w:type="paragraph" w:styleId="ListBullet4">
    <w:name w:val="List Bullet 4"/>
    <w:basedOn w:val="Style33"/>
    <w:qFormat/>
    <w:pPr>
      <w:spacing w:before="0" w:after="0"/>
      <w:ind w:left="0" w:right="0" w:hanging="0"/>
    </w:pPr>
    <w:rPr/>
  </w:style>
  <w:style w:type="paragraph" w:styleId="36">
    <w:name w:val="Список 3 конец"/>
    <w:basedOn w:val="Style33"/>
    <w:next w:val="ListBullet4"/>
    <w:qFormat/>
    <w:pPr>
      <w:spacing w:before="0" w:after="0"/>
      <w:ind w:left="0" w:right="0" w:hanging="0"/>
    </w:pPr>
    <w:rPr/>
  </w:style>
  <w:style w:type="paragraph" w:styleId="ListContinue3">
    <w:name w:val="List Continue 3"/>
    <w:basedOn w:val="Style33"/>
    <w:qFormat/>
    <w:pPr>
      <w:spacing w:before="0" w:after="0"/>
      <w:ind w:left="0" w:right="0" w:hanging="0"/>
    </w:pPr>
    <w:rPr/>
  </w:style>
  <w:style w:type="paragraph" w:styleId="44">
    <w:name w:val="Список 4 начало"/>
    <w:basedOn w:val="Style33"/>
    <w:next w:val="ListBullet5"/>
    <w:qFormat/>
    <w:pPr>
      <w:spacing w:before="0" w:after="0"/>
      <w:ind w:left="0" w:right="0" w:hanging="0"/>
    </w:pPr>
    <w:rPr/>
  </w:style>
  <w:style w:type="paragraph" w:styleId="ListBullet5">
    <w:name w:val="List Bullet 5"/>
    <w:basedOn w:val="Style33"/>
    <w:qFormat/>
    <w:pPr>
      <w:spacing w:before="0" w:after="0"/>
      <w:ind w:left="0" w:right="0" w:hanging="0"/>
    </w:pPr>
    <w:rPr/>
  </w:style>
  <w:style w:type="paragraph" w:styleId="45">
    <w:name w:val="Список 4 конец"/>
    <w:basedOn w:val="Style33"/>
    <w:next w:val="ListBullet5"/>
    <w:qFormat/>
    <w:pPr>
      <w:spacing w:before="0" w:after="0"/>
      <w:ind w:left="0" w:right="0" w:hanging="0"/>
    </w:pPr>
    <w:rPr/>
  </w:style>
  <w:style w:type="paragraph" w:styleId="ListContinue4">
    <w:name w:val="List Continue 4"/>
    <w:basedOn w:val="Style33"/>
    <w:qFormat/>
    <w:pPr>
      <w:spacing w:before="0" w:after="0"/>
      <w:ind w:left="0" w:right="0" w:hanging="0"/>
    </w:pPr>
    <w:rPr/>
  </w:style>
  <w:style w:type="paragraph" w:styleId="54">
    <w:name w:val="Список 5 начало"/>
    <w:basedOn w:val="Style33"/>
    <w:next w:val="ListNumber"/>
    <w:qFormat/>
    <w:pPr>
      <w:spacing w:before="0" w:after="0"/>
      <w:ind w:left="0" w:right="0" w:hanging="0"/>
    </w:pPr>
    <w:rPr/>
  </w:style>
  <w:style w:type="paragraph" w:styleId="ListNumber">
    <w:name w:val="List Number"/>
    <w:basedOn w:val="Style33"/>
    <w:qFormat/>
    <w:pPr>
      <w:spacing w:before="0" w:after="0"/>
      <w:ind w:left="0" w:right="0" w:hanging="0"/>
    </w:pPr>
    <w:rPr/>
  </w:style>
  <w:style w:type="paragraph" w:styleId="55">
    <w:name w:val="Список 5 конец"/>
    <w:basedOn w:val="Style33"/>
    <w:next w:val="ListNumber"/>
    <w:qFormat/>
    <w:pPr>
      <w:spacing w:before="0" w:after="0"/>
      <w:ind w:left="0" w:right="0" w:hanging="0"/>
    </w:pPr>
    <w:rPr/>
  </w:style>
  <w:style w:type="paragraph" w:styleId="ListContinue5">
    <w:name w:val="List Continue 5"/>
    <w:basedOn w:val="Style33"/>
    <w:qFormat/>
    <w:pPr>
      <w:spacing w:before="0" w:after="0"/>
      <w:ind w:left="0" w:right="0" w:hanging="0"/>
    </w:pPr>
    <w:rPr/>
  </w:style>
  <w:style w:type="paragraph" w:styleId="Style44">
    <w:name w:val="Index Heading"/>
    <w:basedOn w:val="Style31"/>
    <w:pPr>
      <w:ind w:left="0" w:right="0" w:hanging="0"/>
    </w:pPr>
    <w:rPr/>
  </w:style>
  <w:style w:type="paragraph" w:styleId="16">
    <w:name w:val="Index 1"/>
    <w:basedOn w:val="Style35"/>
    <w:pPr>
      <w:ind w:left="0" w:right="0" w:hanging="0"/>
    </w:pPr>
    <w:rPr/>
  </w:style>
  <w:style w:type="paragraph" w:styleId="27">
    <w:name w:val="Index 2"/>
    <w:basedOn w:val="Style35"/>
    <w:pPr>
      <w:ind w:left="0" w:right="0" w:hanging="0"/>
    </w:pPr>
    <w:rPr/>
  </w:style>
  <w:style w:type="paragraph" w:styleId="37">
    <w:name w:val="Index 3"/>
    <w:basedOn w:val="Style35"/>
    <w:pPr>
      <w:ind w:left="0" w:right="0" w:hanging="0"/>
    </w:pPr>
    <w:rPr/>
  </w:style>
  <w:style w:type="paragraph" w:styleId="Style45">
    <w:name w:val="Разделитель предметного указателя"/>
    <w:basedOn w:val="Style35"/>
    <w:qFormat/>
    <w:pPr>
      <w:ind w:left="0" w:right="0" w:hanging="0"/>
    </w:pPr>
    <w:rPr/>
  </w:style>
  <w:style w:type="paragraph" w:styleId="TOCHeading">
    <w:name w:val="TOC Heading"/>
    <w:basedOn w:val="Style31"/>
    <w:next w:val="17"/>
    <w:qFormat/>
    <w:pPr>
      <w:ind w:left="0" w:right="0" w:hanging="0"/>
    </w:pPr>
    <w:rPr/>
  </w:style>
  <w:style w:type="paragraph" w:styleId="17">
    <w:name w:val="TOC 1"/>
    <w:basedOn w:val="Style35"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8">
    <w:name w:val="TOC 2"/>
    <w:basedOn w:val="Style35"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8">
    <w:name w:val="TOC 3"/>
    <w:basedOn w:val="Style35"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6">
    <w:name w:val="TOC 4"/>
    <w:basedOn w:val="Style35"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6">
    <w:name w:val="TOC 5"/>
    <w:basedOn w:val="Style35"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Style46">
    <w:name w:val="Заголовок указателей пользователя"/>
    <w:basedOn w:val="Style31"/>
    <w:qFormat/>
    <w:pPr/>
    <w:rPr/>
  </w:style>
  <w:style w:type="paragraph" w:styleId="18">
    <w:name w:val="Указатель пользователя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9">
    <w:name w:val="Указатель пользователя 2"/>
    <w:basedOn w:val="Style35"/>
    <w:qFormat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9">
    <w:name w:val="Указатель пользователя 3"/>
    <w:basedOn w:val="Style35"/>
    <w:qFormat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7">
    <w:name w:val="Указатель пользователя 4"/>
    <w:basedOn w:val="Style35"/>
    <w:qFormat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7">
    <w:name w:val="Указатель пользователя 5"/>
    <w:basedOn w:val="Style35"/>
    <w:qFormat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61">
    <w:name w:val="TOC 6"/>
    <w:basedOn w:val="Style35"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1">
    <w:name w:val="TOC 7"/>
    <w:basedOn w:val="Style35"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1">
    <w:name w:val="TOC 8"/>
    <w:basedOn w:val="Style35"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1">
    <w:name w:val="TOC 9"/>
    <w:basedOn w:val="Style35"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1">
    <w:name w:val="Оглавление 10"/>
    <w:basedOn w:val="Style35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IllustrationIndex1">
    <w:name w:val="Illustration Index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47">
    <w:name w:val="Заголовок списка объектов"/>
    <w:basedOn w:val="Style31"/>
    <w:qFormat/>
    <w:pPr>
      <w:ind w:left="0" w:right="0" w:hanging="0"/>
    </w:pPr>
    <w:rPr/>
  </w:style>
  <w:style w:type="paragraph" w:styleId="19">
    <w:name w:val="Список объектов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48">
    <w:name w:val="Заголовок списка таблиц"/>
    <w:basedOn w:val="Style31"/>
    <w:qFormat/>
    <w:pPr>
      <w:ind w:left="0" w:right="0" w:hanging="0"/>
    </w:pPr>
    <w:rPr/>
  </w:style>
  <w:style w:type="paragraph" w:styleId="110">
    <w:name w:val="Список таблиц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TableofAuthorities">
    <w:name w:val="Table of Authorities"/>
    <w:basedOn w:val="Style31"/>
    <w:qFormat/>
    <w:pPr>
      <w:ind w:left="0" w:right="0" w:hanging="0"/>
    </w:pPr>
    <w:rPr/>
  </w:style>
  <w:style w:type="paragraph" w:styleId="111">
    <w:name w:val="Библиография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62">
    <w:name w:val="Указатель пользователя 6"/>
    <w:basedOn w:val="Style35"/>
    <w:qFormat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2">
    <w:name w:val="Указатель пользователя 7"/>
    <w:basedOn w:val="Style35"/>
    <w:qFormat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2">
    <w:name w:val="Указатель пользователя 8"/>
    <w:basedOn w:val="Style35"/>
    <w:qFormat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2">
    <w:name w:val="Указатель пользователя 9"/>
    <w:basedOn w:val="Style35"/>
    <w:qFormat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2">
    <w:name w:val="Указатель пользователя 10"/>
    <w:basedOn w:val="Style35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Style49">
    <w:name w:val="Колонтитул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50">
    <w:name w:val="Верхний и нижний колонтитулы"/>
    <w:basedOn w:val="Normal"/>
    <w:qFormat/>
    <w:pPr/>
    <w:rPr/>
  </w:style>
  <w:style w:type="paragraph" w:styleId="Style51">
    <w:name w:val="Head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2">
    <w:name w:val="Верх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3">
    <w:name w:val="Верх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4">
    <w:name w:val="Foot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5">
    <w:name w:val="Ниж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6">
    <w:name w:val="Ниж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7">
    <w:name w:val="Содержимое таблицы"/>
    <w:basedOn w:val="Normal"/>
    <w:qFormat/>
    <w:pPr/>
    <w:rPr/>
  </w:style>
  <w:style w:type="paragraph" w:styleId="Style58">
    <w:name w:val="Заголовок таблицы"/>
    <w:basedOn w:val="Style57"/>
    <w:qFormat/>
    <w:pPr>
      <w:jc w:val="center"/>
    </w:pPr>
    <w:rPr>
      <w:b/>
    </w:rPr>
  </w:style>
  <w:style w:type="paragraph" w:styleId="Style59">
    <w:name w:val="Иллюстрация"/>
    <w:basedOn w:val="Style34"/>
    <w:qFormat/>
    <w:pPr/>
    <w:rPr/>
  </w:style>
  <w:style w:type="paragraph" w:styleId="Style60">
    <w:name w:val="Таблица"/>
    <w:basedOn w:val="Style34"/>
    <w:qFormat/>
    <w:pPr/>
    <w:rPr/>
  </w:style>
  <w:style w:type="paragraph" w:styleId="Style61">
    <w:name w:val="Текст"/>
    <w:basedOn w:val="Style34"/>
    <w:qFormat/>
    <w:pPr/>
    <w:rPr/>
  </w:style>
  <w:style w:type="paragraph" w:styleId="Style62">
    <w:name w:val="Содержимое врезки"/>
    <w:basedOn w:val="Normal"/>
    <w:qFormat/>
    <w:pPr/>
    <w:rPr/>
  </w:style>
  <w:style w:type="paragraph" w:styleId="Style63">
    <w:name w:val="Footnote Text"/>
    <w:basedOn w:val="Normal"/>
    <w:pPr>
      <w:ind w:left="0" w:right="0" w:hanging="0"/>
      <w:jc w:val="left"/>
    </w:pPr>
    <w:rPr>
      <w:sz w:val="28"/>
      <w:szCs w:val="24"/>
    </w:rPr>
  </w:style>
  <w:style w:type="paragraph" w:styleId="Style64">
    <w:name w:val="Envelope Address"/>
    <w:basedOn w:val="Normal"/>
    <w:pPr>
      <w:spacing w:before="0" w:after="0"/>
    </w:pPr>
    <w:rPr/>
  </w:style>
  <w:style w:type="paragraph" w:styleId="Style65">
    <w:name w:val="Envelope Return"/>
    <w:basedOn w:val="Normal"/>
    <w:pPr>
      <w:spacing w:before="0" w:after="0"/>
    </w:pPr>
    <w:rPr/>
  </w:style>
  <w:style w:type="paragraph" w:styleId="Style66">
    <w:name w:val="Endnote Text"/>
    <w:basedOn w:val="Normal"/>
    <w:pPr>
      <w:ind w:left="0" w:right="0" w:hanging="0"/>
    </w:pPr>
    <w:rPr>
      <w:sz w:val="28"/>
      <w:szCs w:val="24"/>
    </w:rPr>
  </w:style>
  <w:style w:type="paragraph" w:styleId="TableofFigures">
    <w:name w:val="Table of Figures"/>
    <w:basedOn w:val="Style34"/>
    <w:qFormat/>
    <w:pPr/>
    <w:rPr/>
  </w:style>
  <w:style w:type="paragraph" w:styleId="Style67">
    <w:name w:val="Текст в заданном формате"/>
    <w:basedOn w:val="Normal"/>
    <w:qFormat/>
    <w:pPr>
      <w:spacing w:before="0" w:after="0"/>
    </w:pPr>
    <w:rPr>
      <w:rFonts w:ascii="PT Astra Serif" w:hAnsi="PT Astra Serif" w:eastAsia="Source Han Sans CN Regular" w:cs="Lohit Devanagari"/>
      <w:sz w:val="28"/>
      <w:szCs w:val="24"/>
    </w:rPr>
  </w:style>
  <w:style w:type="paragraph" w:styleId="Style68">
    <w:name w:val="Горизонтальная линия"/>
    <w:basedOn w:val="Normal"/>
    <w:next w:val="Style32"/>
    <w:qFormat/>
    <w:pPr>
      <w:pBdr>
        <w:bottom w:val="single" w:sz="8" w:space="0" w:color="000000"/>
      </w:pBdr>
      <w:spacing w:before="0" w:after="0"/>
    </w:pPr>
    <w:rPr>
      <w:sz w:val="4"/>
      <w:szCs w:val="24"/>
    </w:rPr>
  </w:style>
  <w:style w:type="paragraph" w:styleId="Style69">
    <w:name w:val="Содержимое списка"/>
    <w:basedOn w:val="Normal"/>
    <w:qFormat/>
    <w:pPr>
      <w:ind w:left="0" w:right="0" w:hanging="0"/>
    </w:pPr>
    <w:rPr/>
  </w:style>
  <w:style w:type="paragraph" w:styleId="Style70">
    <w:name w:val="Заголовок списка"/>
    <w:basedOn w:val="Normal"/>
    <w:next w:val="Style69"/>
    <w:qFormat/>
    <w:pPr>
      <w:ind w:left="0" w:right="0" w:hanging="0"/>
    </w:pPr>
    <w:rPr/>
  </w:style>
  <w:style w:type="paragraph" w:styleId="Style71">
    <w:name w:val="Гриф_Экземпляр"/>
    <w:basedOn w:val="Normal"/>
    <w:qFormat/>
    <w:pPr>
      <w:ind w:left="0" w:right="0" w:hanging="0"/>
    </w:pPr>
    <w:rPr>
      <w:sz w:val="24"/>
    </w:rPr>
  </w:style>
  <w:style w:type="paragraph" w:styleId="Style72">
    <w:name w:val="Исполнитель документа"/>
    <w:basedOn w:val="Normal"/>
    <w:qFormat/>
    <w:pPr>
      <w:jc w:val="left"/>
    </w:pPr>
    <w:rPr>
      <w:sz w:val="24"/>
    </w:rPr>
  </w:style>
  <w:style w:type="paragraph" w:styleId="Style73">
    <w:name w:val="Заголовок списка иллюстраций"/>
    <w:basedOn w:val="Style31"/>
    <w:qFormat/>
    <w:pPr>
      <w:suppressLineNumbers/>
      <w:ind w:left="0" w:right="0" w:hanging="0"/>
      <w:jc w:val="center"/>
    </w:pPr>
    <w:rPr/>
  </w:style>
  <w:style w:type="paragraph" w:styleId="WW">
    <w:name w:val="WW-Заголовок"/>
    <w:basedOn w:val="Normal"/>
    <w:next w:val="Style32"/>
    <w:qFormat/>
    <w:pPr>
      <w:suppressAutoHyphens w:val="true"/>
      <w:jc w:val="center"/>
    </w:pPr>
    <w:rPr>
      <w:sz w:val="28"/>
      <w:lang w:eastAsia="zh-CN"/>
    </w:rPr>
  </w:style>
  <w:style w:type="numbering" w:styleId="123">
    <w:name w:val="Нумерованный 123"/>
    <w:qFormat/>
  </w:style>
  <w:style w:type="numbering" w:styleId="ABC">
    <w:name w:val="Нумерованный ABC"/>
    <w:qFormat/>
  </w:style>
  <w:style w:type="numbering" w:styleId="Abc1">
    <w:name w:val="Нумерованный abc"/>
    <w:qFormat/>
  </w:style>
  <w:style w:type="numbering" w:styleId="IVX">
    <w:name w:val="Нумерованный IVX"/>
    <w:qFormat/>
  </w:style>
  <w:style w:type="numbering" w:styleId="Ivx1">
    <w:name w:val="Нумерованный ivx"/>
    <w:qFormat/>
  </w:style>
  <w:style w:type="numbering" w:styleId="Style74">
    <w:name w:val="Маркер •"/>
    <w:qFormat/>
  </w:style>
  <w:style w:type="numbering" w:styleId="Style75">
    <w:name w:val="Маркер –"/>
    <w:qFormat/>
  </w:style>
  <w:style w:type="numbering" w:styleId="Style76">
    <w:name w:val="Маркер "/>
    <w:qFormat/>
  </w:style>
  <w:style w:type="numbering" w:styleId="Style77">
    <w:name w:val="Маркер "/>
    <w:qFormat/>
  </w:style>
  <w:style w:type="numbering" w:styleId="Style78">
    <w:name w:val="Маркер "/>
    <w:qFormat/>
  </w:style>
  <w:style w:type="numbering" w:styleId="112">
    <w:name w:val="Нумерованный 1)"/>
    <w:qFormat/>
  </w:style>
  <w:style w:type="numbering" w:styleId="Style79">
    <w:name w:val="Нумерованный а)"/>
    <w:qFormat/>
  </w:style>
  <w:style w:type="numbering" w:styleId="Style80">
    <w:name w:val="Нумерованный для таблиц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LibreOffice/7.0.4.2$Linux_X86_64 LibreOffice_project/dcf040e67528d9187c66b2379df5ea4407429775</Application>
  <AppVersion>15.0000</AppVersion>
  <Pages>8</Pages>
  <Words>2077</Words>
  <Characters>15126</Characters>
  <CharactersWithSpaces>17097</CharactersWithSpaces>
  <Paragraphs>139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2022-06-21T12:56:44Z</dcterms:created>
  <dc:creator/>
  <dc:description/>
  <dc:language>ru-RU</dc:language>
  <cp:lastModifiedBy/>
  <dcterms:modified xsi:type="dcterms:W3CDTF">2024-12-28T11:34:17Z</dcterms:modified>
  <cp:revision>3</cp:revision>
  <dc:subject/>
  <dc:title>Default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