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ПРАВИЛА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приема в адъюнктуру научно-исследовательского центра</w:t>
        <w:br/>
        <w:t>Военной ордена Жукова академии войск национальной гвардии</w:t>
        <w:br/>
        <w:t>Российской Федерации в 2027 году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cs="PT Astra Serif" w:ascii="PT Astra Serif" w:hAnsi="PT Astra Serif"/>
          <w:color w:val="000000"/>
          <w:sz w:val="28"/>
          <w:szCs w:val="28"/>
        </w:rPr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spacing w:val="-4"/>
          <w:sz w:val="28"/>
          <w:szCs w:val="28"/>
        </w:rPr>
      </w:pP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Пр</w:t>
      </w: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 xml:space="preserve">ием на обучение в адъюнктуру </w:t>
      </w:r>
      <w:r>
        <w:rPr>
          <w:rFonts w:eastAsia="Times New Roman" w:cs="Times New Roman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научно-исследовательского центра</w:t>
      </w:r>
      <w:r>
        <w:rPr>
          <w:rStyle w:val="FootnoteReference"/>
          <w:rFonts w:eastAsia="Times New Roman" w:cs="Times New Roman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footnoteReference w:id="2"/>
      </w:r>
      <w:r>
        <w:rPr>
          <w:rFonts w:eastAsia="Times New Roman" w:cs="Times New Roman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 xml:space="preserve"> Военной ордена Жукова академии войск национальной гвардии Российской Федерации</w:t>
      </w:r>
      <w:r>
        <w:rPr>
          <w:rStyle w:val="FootnoteReference"/>
          <w:rFonts w:eastAsia="Times New Roman" w:cs="Times New Roman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footnoteReference w:id="3"/>
      </w: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осуществляется в соответствие с</w:t>
      </w: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 xml:space="preserve"> приказом Федеральной службы войск национальной гвардии Российской Федерации</w:t>
        <w:br/>
        <w:t xml:space="preserve">от 10 июля 2017 г. № 207 «Об организации деятельности адъюнктуры военных образовательных организаций высшего образования войск национальной гвардии Российской Федерации», </w:t>
      </w:r>
      <w:r>
        <w:rPr>
          <w:rFonts w:cs="PT Astra Serif" w:ascii="PT Astra Serif" w:hAnsi="PT Astra Serif"/>
          <w:color w:val="000000"/>
          <w:spacing w:val="0"/>
          <w:sz w:val="28"/>
          <w:szCs w:val="28"/>
          <w:shd w:fill="auto" w:val="clear"/>
        </w:rPr>
        <w:t>м</w:t>
      </w: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>етодическими рекомендациями Федеральной службы войск национальной гвардии Российской Федерации «По отбору кандидатов для поступления в адъюнктуры, организации научной деятельности и подготовке научно-квалификационной работы (диссертации) адъюнктами военных образовательных организаций высшего образования</w:t>
      </w:r>
      <w:r>
        <w:rPr>
          <w:rStyle w:val="FootnoteReference"/>
          <w:rFonts w:cs="PT Astra Serif" w:ascii="PT Astra Serif" w:hAnsi="PT Astra Serif"/>
          <w:color w:val="000000"/>
          <w:spacing w:val="0"/>
          <w:sz w:val="28"/>
          <w:szCs w:val="28"/>
        </w:rPr>
        <w:footnoteReference w:id="4"/>
      </w: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 xml:space="preserve"> войск национальной гвардии Российской Федерации» и настоящими правилами приема в адъюнктуру</w:t>
      </w:r>
      <w:r>
        <w:rPr>
          <w:rStyle w:val="FootnoteReference"/>
          <w:rFonts w:cs="PT Astra Serif" w:ascii="PT Astra Serif" w:hAnsi="PT Astra Serif"/>
          <w:color w:val="000000"/>
          <w:spacing w:val="0"/>
          <w:sz w:val="28"/>
          <w:szCs w:val="28"/>
        </w:rPr>
        <w:footnoteReference w:id="5"/>
      </w: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 xml:space="preserve">. 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1140" w:leader="none"/>
        </w:tabs>
        <w:suppressAutoHyphens w:val="true"/>
        <w:overflowPunct w:val="false"/>
        <w:bidi w:val="0"/>
        <w:spacing w:lineRule="auto" w:line="240" w:before="0" w:after="0"/>
        <w:ind w:firstLine="709" w:left="0" w:right="0"/>
        <w:jc w:val="both"/>
        <w:rPr>
          <w:sz w:val="28"/>
          <w:szCs w:val="28"/>
        </w:rPr>
      </w:pP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 xml:space="preserve">В адъюнктуру </w:t>
      </w: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принимаются офицеры войск национальной гвардии Российской Федерации</w:t>
      </w:r>
      <w:r>
        <w:rPr>
          <w:rStyle w:val="FootnoteReference"/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footnoteReference w:id="6"/>
      </w: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 на основе конкурсного отбора</w:t>
      </w:r>
      <w:r>
        <w:rPr>
          <w:rFonts w:eastAsia="Times New Roman" w:cs="Times New Roman" w:ascii="PT Astra Serif" w:hAnsi="PT Astra Serif"/>
          <w:color w:val="000000"/>
          <w:spacing w:val="0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имеющие высшее</w:t>
      </w: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lang w:val="ru-RU" w:eastAsia="ru-RU" w:bidi="ar-SA"/>
        </w:rPr>
        <w:t xml:space="preserve"> образование (специалитет или магистра</w:t>
      </w: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тура)</w:t>
      </w: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lang w:val="ru-RU" w:eastAsia="ru-RU" w:bidi="ar-SA"/>
        </w:rPr>
        <w:t>, положительно зарекомендовавшие себя по службе</w:t>
      </w: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pacing w:val="0"/>
          <w:sz w:val="28"/>
          <w:szCs w:val="28"/>
        </w:rPr>
      </w:pP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>3. Прием на обучение в адъюнктур</w:t>
      </w: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у</w:t>
      </w: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 xml:space="preserve"> проводится по программам подготовки научных и научно-педагогических кадров по научным специальностям: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spacing w:val="0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>5.3.4 Педагогическая психология, психодиагностика цифровых образовательных сред;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spacing w:val="0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>5.3.5 Социальная психология, политическая и экономическая психология;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5.3.9 Юридическая психология и психология безопасности;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5.1.1 Теоретико-исторические правовые науки;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5.1.4 Уголовно- правовые науки;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5.8.1 Общая педагогика, история педагогики и образования;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5.8.7 Методология и технология профессионального образования;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6.2.1 Вооружение и военная техника;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6.3.1 «Воинское обучение и воспитание, боевая подготовка, военная педагогика и психология, управление повседневной деятельностью войск.</w:t>
      </w:r>
    </w:p>
    <w:p>
      <w:pPr>
        <w:pStyle w:val="BodyText"/>
        <w:widowControl/>
        <w:tabs>
          <w:tab w:val="clear" w:pos="708"/>
          <w:tab w:val="left" w:pos="1140" w:leader="none"/>
        </w:tabs>
        <w:suppressAutoHyphens w:val="true"/>
        <w:overflowPunct w:val="fals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4. Рапорта, документы кандидатов формируются в учетные дела</w:t>
        <w:br/>
        <w:t>и направляются руководителями структурных подразделений центрального аппарата Росгвардии, командующими округами, командирами (начальниками) соединений, воинских частей, ВООВО</w:t>
        <w:br/>
        <w:t>и иных организаций войск национальной гвардии, непосредственно подчиненных директору, в военную академию к 1 апреля 2027 года.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false"/>
        <w:bidi w:val="0"/>
        <w:spacing w:lineRule="auto" w:line="240" w:before="0" w:after="0"/>
        <w:ind w:firstLine="709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5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. Учетные дела кандидатов должны содержать: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fals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р</w:t>
      </w:r>
      <w:r>
        <w:rPr>
          <w:rFonts w:ascii="PT Astra Serif" w:hAnsi="PT Astra Serif"/>
          <w:b w:val="false"/>
          <w:bCs w:val="false"/>
          <w:spacing w:val="0"/>
          <w:sz w:val="28"/>
          <w:szCs w:val="28"/>
        </w:rPr>
        <w:t>апорт на обучение по форме, размещенной на официальном сайте военной академии;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/>
          <w:b w:val="false"/>
          <w:bCs w:val="false"/>
          <w:spacing w:val="0"/>
          <w:sz w:val="28"/>
          <w:szCs w:val="28"/>
        </w:rPr>
      </w:pPr>
      <w:r>
        <w:rPr>
          <w:rFonts w:ascii="PT Astra Serif" w:hAnsi="PT Astra Serif"/>
          <w:b w:val="false"/>
          <w:bCs w:val="false"/>
          <w:spacing w:val="0"/>
          <w:sz w:val="28"/>
          <w:szCs w:val="28"/>
        </w:rPr>
        <w:t>рекомендательный лист подписанный: в округах войск национальной гвардии — командующим округом и его заместителем по направлению деятельности; в соединениях, воинских частях, ВООВО, научных и иных организациях войск национальной гвардии Российской Федерации, непосредственно подчиненных Директору Федеральной службы войск национальной гвардии Российской Федерации — командиром (начальником) соединения (воинской части, организации) и его заместителем по направлению деятельности кандидата;</w:t>
      </w:r>
    </w:p>
    <w:p>
      <w:pPr>
        <w:pStyle w:val="Normal"/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/>
          <w:spacing w:val="0"/>
          <w:sz w:val="28"/>
          <w:szCs w:val="28"/>
        </w:rPr>
      </w:pPr>
      <w:r>
        <w:rPr>
          <w:rFonts w:ascii="PT Astra Serif" w:hAnsi="PT Astra Serif"/>
          <w:spacing w:val="0"/>
          <w:sz w:val="28"/>
          <w:szCs w:val="28"/>
        </w:rPr>
        <w:t>заверенные копии: документ</w:t>
      </w:r>
      <w:r>
        <w:rPr>
          <w:rFonts w:eastAsia="Times New Roman" w:cs="Times New Roman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>ов</w:t>
      </w:r>
      <w:r>
        <w:rPr>
          <w:rFonts w:ascii="PT Astra Serif" w:hAnsi="PT Astra Serif"/>
          <w:spacing w:val="0"/>
          <w:sz w:val="28"/>
          <w:szCs w:val="28"/>
        </w:rPr>
        <w:t xml:space="preserve"> удостоверяющ</w:t>
      </w:r>
      <w:r>
        <w:rPr>
          <w:rFonts w:eastAsia="Times New Roman" w:cs="Times New Roman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>их</w:t>
      </w:r>
      <w:r>
        <w:rPr>
          <w:rFonts w:ascii="PT Astra Serif" w:hAnsi="PT Astra Serif"/>
          <w:spacing w:val="0"/>
          <w:sz w:val="28"/>
          <w:szCs w:val="28"/>
        </w:rPr>
        <w:t xml:space="preserve"> личность кандидата (паспорт гражданина РФ и удостоверение личности), диплома о высшем образовании (диплома специалиста и магистра) с приложением к диплому, служебной карточки, документов, подтверждающих изменение фамилии, имени или отчества (если изменялись), удостоверения о сдаче кандидатских экзаменов (для лиц, полностью или частично сдавших кандидатские экзамены);</w:t>
      </w:r>
    </w:p>
    <w:p>
      <w:pPr>
        <w:pStyle w:val="Normal"/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0"/>
          <w:sz w:val="28"/>
          <w:szCs w:val="28"/>
        </w:rPr>
        <w:t>анкет</w:t>
      </w: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у (приложение №3 к методическим рекомендациям по ведению личных дел и послужных карт в войсках национальной гвардии Российской Федерации)</w:t>
      </w:r>
      <w:r>
        <w:rPr>
          <w:rFonts w:ascii="PT Astra Serif" w:hAnsi="PT Astra Serif"/>
          <w:spacing w:val="0"/>
          <w:sz w:val="28"/>
          <w:szCs w:val="28"/>
          <w:shd w:fill="auto" w:val="clear"/>
        </w:rPr>
        <w:t>;</w:t>
      </w:r>
    </w:p>
    <w:p>
      <w:pPr>
        <w:pStyle w:val="Normal"/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  <w:shd w:fill="auto" w:val="clear"/>
        </w:rPr>
        <w:t>две фотографии размером 3х4 см (цветные, глянцевые,</w:t>
        <w:br/>
        <w:t xml:space="preserve">в </w:t>
      </w:r>
      <w:r>
        <w:rPr>
          <w:rFonts w:eastAsia="Times New Roman" w:cs="Times New Roman" w:ascii="PT Astra Serif" w:hAnsi="PT Astra Serif"/>
          <w:b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парадной и повседневной</w:t>
      </w:r>
      <w:r>
        <w:rPr>
          <w:rFonts w:ascii="PT Astra Serif" w:hAnsi="PT Astra Serif"/>
          <w:spacing w:val="-2"/>
          <w:sz w:val="28"/>
          <w:szCs w:val="28"/>
          <w:shd w:fill="auto" w:val="clear"/>
        </w:rPr>
        <w:t xml:space="preserve"> форм</w:t>
      </w:r>
      <w:r>
        <w:rPr>
          <w:rFonts w:eastAsia="Times New Roman" w:cs="Times New Roman" w:ascii="PT Astra Serif" w:hAnsi="PT Astra Serif"/>
          <w:b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е одежды без головного убора,</w:t>
      </w:r>
      <w:r>
        <w:rPr>
          <w:rFonts w:ascii="PT Astra Serif" w:hAnsi="PT Astra Serif"/>
          <w:spacing w:val="-2"/>
          <w:sz w:val="28"/>
          <w:szCs w:val="28"/>
          <w:shd w:fill="auto" w:val="clear"/>
        </w:rPr>
        <w:t xml:space="preserve"> без уголка);</w:t>
      </w:r>
    </w:p>
    <w:p>
      <w:pPr>
        <w:pStyle w:val="Normal"/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/>
          <w:spacing w:val="0"/>
          <w:sz w:val="28"/>
          <w:szCs w:val="28"/>
        </w:rPr>
      </w:pPr>
      <w:r>
        <w:rPr>
          <w:rFonts w:ascii="PT Astra Serif" w:hAnsi="PT Astra Serif"/>
          <w:spacing w:val="0"/>
          <w:sz w:val="28"/>
          <w:szCs w:val="28"/>
        </w:rPr>
        <w:t>служебную характеристику;</w:t>
      </w:r>
    </w:p>
    <w:p>
      <w:pPr>
        <w:pStyle w:val="Normal"/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/>
          <w:spacing w:val="0"/>
          <w:sz w:val="28"/>
          <w:szCs w:val="28"/>
        </w:rPr>
      </w:pPr>
      <w:r>
        <w:rPr>
          <w:rFonts w:ascii="PT Astra Serif" w:hAnsi="PT Astra Serif"/>
          <w:spacing w:val="0"/>
          <w:sz w:val="28"/>
          <w:szCs w:val="28"/>
        </w:rPr>
        <w:t>личный листок по учету кадров;</w:t>
      </w:r>
    </w:p>
    <w:p>
      <w:pPr>
        <w:pStyle w:val="Normal"/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/>
          <w:spacing w:val="0"/>
          <w:sz w:val="28"/>
          <w:szCs w:val="28"/>
        </w:rPr>
      </w:pPr>
      <w:r>
        <w:rPr>
          <w:rFonts w:ascii="PT Astra Serif" w:hAnsi="PT Astra Serif"/>
          <w:spacing w:val="0"/>
          <w:sz w:val="28"/>
          <w:szCs w:val="28"/>
        </w:rPr>
        <w:t>автобиографию, написанную собственноручно;</w:t>
      </w:r>
    </w:p>
    <w:p>
      <w:pPr>
        <w:pStyle w:val="Normal"/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/>
          <w:spacing w:val="0"/>
          <w:sz w:val="28"/>
          <w:szCs w:val="28"/>
        </w:rPr>
      </w:pPr>
      <w:r>
        <w:rPr>
          <w:rFonts w:ascii="PT Astra Serif" w:hAnsi="PT Astra Serif"/>
          <w:spacing w:val="0"/>
          <w:sz w:val="28"/>
          <w:szCs w:val="28"/>
        </w:rPr>
        <w:t>карту медицинского освидетельствования кандидата с оформленным заключением ВВК о годности к поступлению в ВООВО (для кандидатов, поступающих в адъюнктуру по очной форме обучения);</w:t>
      </w:r>
    </w:p>
    <w:p>
      <w:pPr>
        <w:pStyle w:val="Normal"/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spacing w:val="0"/>
        </w:rPr>
      </w:pPr>
      <w:r>
        <w:rPr>
          <w:rFonts w:ascii="PT Astra Serif" w:hAnsi="PT Astra Serif"/>
          <w:spacing w:val="0"/>
          <w:sz w:val="28"/>
          <w:szCs w:val="28"/>
        </w:rPr>
        <w:t>распечатанный на бумаге формата А-4 реферат по научной специальности;</w:t>
      </w:r>
    </w:p>
    <w:p>
      <w:pPr>
        <w:pStyle w:val="Normal"/>
        <w:widowControl/>
        <w:tabs>
          <w:tab w:val="clear" w:pos="708"/>
          <w:tab w:val="left" w:pos="1140" w:leader="none"/>
        </w:tabs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 w:eastAsia="Times New Roman" w:cs="Times New Roman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справку о допуске к сведениям, составляющим государственную тайну (представляется подразделением делопроизводства и режима);</w:t>
      </w:r>
    </w:p>
    <w:p>
      <w:pPr>
        <w:pStyle w:val="Normal"/>
        <w:widowControl/>
        <w:tabs>
          <w:tab w:val="clear" w:pos="708"/>
          <w:tab w:val="left" w:pos="1140" w:leader="none"/>
        </w:tabs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 w:eastAsia="Times New Roman" w:cs="Times New Roman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список опубликованных научных работ, изобретений и отчетов (при наличии);</w:t>
      </w:r>
    </w:p>
    <w:p>
      <w:pPr>
        <w:pStyle w:val="Normal"/>
        <w:widowControl/>
        <w:tabs>
          <w:tab w:val="clear" w:pos="708"/>
          <w:tab w:val="left" w:pos="1140" w:leader="none"/>
        </w:tabs>
        <w:suppressAutoHyphens w:val="true"/>
        <w:overflowPunct w:val="false"/>
        <w:bidi w:val="0"/>
        <w:spacing w:lineRule="atLeast" w:line="200" w:before="0" w:after="0"/>
        <w:ind w:firstLine="709" w:left="0" w:right="0"/>
        <w:jc w:val="both"/>
        <w:rPr>
          <w:rFonts w:ascii="PT Astra Serif" w:hAnsi="PT Astra Serif" w:eastAsia="Times New Roman" w:cs="Times New Roman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документы, свидетельствующие об индивидуальных достижениях кандидата (наличие почетных званий РФ, государственных наград РФ, удостоверения ветерана боевых действий, золотой медали за отличное окончание образовательной организации высшего образования, диплома</w:t>
        <w:br/>
        <w:t>о высшем образовании с отличием, опубликованных научных статей, патенты (свидетельства) на изобретение полезной модели, промышленный образец, зарегистрированные в установленном порядке и иные индивидуальные достижения.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overflowPunct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6</w:t>
      </w:r>
      <w:r>
        <w:rPr>
          <w:rFonts w:cs="PT Astra Serif" w:ascii="PT Astra Serif" w:hAnsi="PT Astra Serif"/>
          <w:b w:val="false"/>
          <w:bCs w:val="false"/>
          <w:color w:val="000000"/>
          <w:sz w:val="28"/>
          <w:szCs w:val="28"/>
        </w:rPr>
        <w:t>. </w:t>
      </w:r>
      <w:r>
        <w:rPr>
          <w:rFonts w:cs="PT Astra Serif" w:ascii="PT Astra Serif" w:hAnsi="PT Astra Serif"/>
          <w:b w:val="false"/>
          <w:color w:val="000000"/>
          <w:spacing w:val="-2"/>
          <w:sz w:val="28"/>
          <w:szCs w:val="28"/>
        </w:rPr>
        <w:t>Для приема в адъюнктуру приказом начальника в</w:t>
      </w:r>
      <w:r>
        <w:rPr>
          <w:rFonts w:eastAsia="Times New Roman" w:cs="PT Astra Serif" w:ascii="PT Astra Serif" w:hAnsi="PT Astra Serif"/>
          <w:b w:val="false"/>
          <w:color w:val="000000"/>
          <w:spacing w:val="-2"/>
          <w:kern w:val="0"/>
          <w:sz w:val="28"/>
          <w:szCs w:val="28"/>
          <w:lang w:val="ru-RU" w:eastAsia="ru-RU" w:bidi="ar-SA"/>
        </w:rPr>
        <w:t>оенной академии</w:t>
      </w:r>
      <w:r>
        <w:rPr>
          <w:rFonts w:cs="PT Astra Serif" w:ascii="PT Astra Serif" w:hAnsi="PT Astra Serif"/>
          <w:b w:val="false"/>
          <w:color w:val="000000"/>
          <w:spacing w:val="-2"/>
          <w:sz w:val="28"/>
          <w:szCs w:val="28"/>
        </w:rPr>
        <w:t xml:space="preserve"> создается приемная комиссия. Приемная комиссия состоит из председателя, заместителя председателя, ответственного секретаря и членов.</w:t>
      </w:r>
    </w:p>
    <w:p>
      <w:pPr>
        <w:pStyle w:val="BodyText"/>
        <w:widowControl/>
        <w:suppressAutoHyphens w:val="true"/>
        <w:overflowPunct w:val="true"/>
        <w:bidi w:val="0"/>
        <w:spacing w:lineRule="atLeast" w:line="285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7</w:t>
      </w:r>
      <w:r>
        <w:rPr>
          <w:rFonts w:ascii="PT Astra Serif" w:hAnsi="PT Astra Serif"/>
          <w:b w:val="false"/>
          <w:sz w:val="28"/>
          <w:szCs w:val="28"/>
        </w:rPr>
        <w:t xml:space="preserve">. Для организации и проведения вступительных испытаний при приеме на обучение по программам адъюнктуры приказом начальника </w:t>
      </w:r>
      <w:r>
        <w:rPr>
          <w:rFonts w:eastAsia="Times New Roman" w:cs="PT Astra Serif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военной академии</w:t>
      </w:r>
      <w:r>
        <w:rPr>
          <w:rFonts w:ascii="PT Astra Serif" w:hAnsi="PT Astra Serif"/>
          <w:b w:val="false"/>
          <w:sz w:val="28"/>
          <w:szCs w:val="28"/>
        </w:rPr>
        <w:t xml:space="preserve"> по каждому вступительному испытанию создается экзаменационная комиссия. В целях обеспечения соблюдения единых требований и разрешения спорных вопросов при проведении вступительных испытаний приказом начальника </w:t>
      </w: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военной академии</w:t>
      </w:r>
      <w:r>
        <w:rPr>
          <w:rFonts w:ascii="PT Astra Serif" w:hAnsi="PT Astra Serif"/>
          <w:b w:val="false"/>
          <w:sz w:val="28"/>
          <w:szCs w:val="28"/>
        </w:rPr>
        <w:t xml:space="preserve"> создается апелляционная комиссия.</w:t>
      </w:r>
    </w:p>
    <w:p>
      <w:pPr>
        <w:pStyle w:val="BodyText"/>
        <w:widowControl/>
        <w:suppressAutoHyphens w:val="true"/>
        <w:overflowPunct w:val="true"/>
        <w:bidi w:val="0"/>
        <w:spacing w:lineRule="atLeast" w:line="285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 w:val="false"/>
          <w:sz w:val="28"/>
          <w:szCs w:val="28"/>
        </w:rPr>
        <w:t>8. В состав экзаменационн</w:t>
      </w: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ой</w:t>
      </w:r>
      <w:r>
        <w:rPr>
          <w:rFonts w:ascii="PT Astra Serif" w:hAnsi="PT Astra Serif"/>
          <w:b w:val="false"/>
          <w:sz w:val="28"/>
          <w:szCs w:val="28"/>
        </w:rPr>
        <w:t xml:space="preserve"> комиссии включаются профессорско-преподавательский состав по профилю вступительного испытания имеющие ученую степень доктора наук и кандидата наук,</w:t>
        <w:br/>
        <w:t xml:space="preserve">а по иностранному языку квалифицированные преподаватели, владеющие соответствующим иностранным языком. </w:t>
      </w:r>
    </w:p>
    <w:p>
      <w:pPr>
        <w:pStyle w:val="BodyText"/>
        <w:widowControl/>
        <w:suppressAutoHyphens w:val="true"/>
        <w:overflowPunct w:val="true"/>
        <w:bidi w:val="0"/>
        <w:spacing w:lineRule="atLeast" w:line="285" w:before="0" w:after="0"/>
        <w:ind w:firstLine="709" w:left="0" w:right="0"/>
        <w:jc w:val="both"/>
        <w:rPr>
          <w:rFonts w:ascii="PT Astra Serif" w:hAnsi="PT Astra Serif"/>
          <w:spacing w:val="0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auto"/>
          <w:spacing w:val="0"/>
          <w:kern w:val="0"/>
          <w:sz w:val="28"/>
          <w:szCs w:val="28"/>
          <w:lang w:val="ru-RU" w:eastAsia="ru-RU" w:bidi="ar-SA"/>
        </w:rPr>
        <w:t>9</w:t>
      </w:r>
      <w:r>
        <w:rPr>
          <w:rFonts w:ascii="PT Astra Serif" w:hAnsi="PT Astra Serif"/>
          <w:b w:val="false"/>
          <w:spacing w:val="0"/>
          <w:sz w:val="28"/>
          <w:szCs w:val="28"/>
        </w:rPr>
        <w:t>. В интересах защиты прав кандидатов, членов приемной, экзаменационных и апелляционной комиссий при проведении вступительных испытаний применяются технические средства аудио-</w:t>
        <w:br/>
        <w:t>и видеофиксации, о чем в обязательном порядке уведомляются указанные лица.</w:t>
      </w:r>
    </w:p>
    <w:p>
      <w:pPr>
        <w:pStyle w:val="BodyText"/>
        <w:widowControl/>
        <w:suppressAutoHyphens w:val="true"/>
        <w:overflowPunct w:val="true"/>
        <w:bidi w:val="0"/>
        <w:spacing w:lineRule="atLeast" w:line="285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 w:val="false"/>
          <w:sz w:val="28"/>
          <w:szCs w:val="28"/>
        </w:rPr>
        <w:t>1</w:t>
      </w: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0</w:t>
      </w:r>
      <w:r>
        <w:rPr>
          <w:rFonts w:ascii="PT Astra Serif" w:hAnsi="PT Astra Serif"/>
          <w:b w:val="false"/>
          <w:sz w:val="28"/>
          <w:szCs w:val="28"/>
        </w:rPr>
        <w:t>. Решение о допуске кандидатов к вступительным испытаниям или об отказе в допуске к вступительным испытаниям принимается приемной комиссией на основании изучения документов, указанных в пункте 5 настоящ</w:t>
      </w: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их</w:t>
      </w:r>
      <w:r>
        <w:rPr>
          <w:rFonts w:ascii="PT Astra Serif" w:hAnsi="PT Astra Serif"/>
          <w:b w:val="false"/>
          <w:sz w:val="28"/>
          <w:szCs w:val="28"/>
        </w:rPr>
        <w:t xml:space="preserve"> п</w:t>
      </w: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равил</w:t>
      </w:r>
      <w:r>
        <w:rPr>
          <w:rFonts w:ascii="PT Astra Serif" w:hAnsi="PT Astra Serif"/>
          <w:b w:val="false"/>
          <w:sz w:val="28"/>
          <w:szCs w:val="28"/>
        </w:rPr>
        <w:t>, с учетом содержания рецензий кафедр</w:t>
        <w:br/>
        <w:t xml:space="preserve">на представленные научные работы или рефераты. </w:t>
      </w:r>
    </w:p>
    <w:p>
      <w:pPr>
        <w:pStyle w:val="BodyText"/>
        <w:widowControl/>
        <w:suppressAutoHyphens w:val="true"/>
        <w:overflowPunct w:val="true"/>
        <w:bidi w:val="0"/>
        <w:spacing w:lineRule="atLeast" w:line="285" w:before="0" w:after="0"/>
        <w:ind w:firstLine="709" w:left="0" w:right="0"/>
        <w:jc w:val="both"/>
        <w:rPr>
          <w:rFonts w:ascii="PT Astra Serif" w:hAnsi="PT Astra Serif"/>
          <w:b w:val="false"/>
          <w:sz w:val="28"/>
          <w:szCs w:val="28"/>
        </w:rPr>
      </w:pPr>
      <w:r>
        <w:rPr>
          <w:rFonts w:ascii="PT Astra Serif" w:hAnsi="PT Astra Serif"/>
          <w:b w:val="false"/>
          <w:sz w:val="28"/>
          <w:szCs w:val="28"/>
        </w:rPr>
        <w:t xml:space="preserve">11. Решение приемной комиссии о допуске к вступительным испытаниям доводится командующим оперативно-территориальных объединений, командирам соединений, воинских частей (подразделений), начальникам структурных подразделений непосредственно подчиненных Директору </w:t>
      </w:r>
      <w:r>
        <w:rPr>
          <w:rFonts w:ascii="PT Astra Serif" w:hAnsi="PT Astra Serif"/>
          <w:b w:val="false"/>
          <w:bCs w:val="false"/>
          <w:spacing w:val="0"/>
          <w:sz w:val="28"/>
          <w:szCs w:val="28"/>
        </w:rPr>
        <w:t>Федеральной службы войск национальной гвардии Российской Федерации</w:t>
      </w:r>
      <w:r>
        <w:rPr>
          <w:rFonts w:ascii="PT Astra Serif" w:hAnsi="PT Astra Serif"/>
          <w:b w:val="false"/>
          <w:sz w:val="28"/>
          <w:szCs w:val="28"/>
        </w:rPr>
        <w:t xml:space="preserve"> </w:t>
      </w:r>
      <w:r>
        <w:rPr>
          <w:rFonts w:ascii="PT Astra Serif" w:hAnsi="PT Astra Serif"/>
          <w:b w:val="false"/>
          <w:color w:val="000000"/>
          <w:sz w:val="28"/>
          <w:szCs w:val="28"/>
        </w:rPr>
        <w:t>не позднее чем за 15 дней до начала вступительных испытаний</w:t>
      </w:r>
      <w:r>
        <w:rPr>
          <w:rFonts w:ascii="PT Astra Serif" w:hAnsi="PT Astra Serif"/>
          <w:b w:val="false"/>
          <w:sz w:val="28"/>
          <w:szCs w:val="28"/>
        </w:rPr>
        <w:t xml:space="preserve">. </w:t>
      </w:r>
    </w:p>
    <w:p>
      <w:pPr>
        <w:pStyle w:val="BodyText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 w:val="false"/>
          <w:sz w:val="28"/>
          <w:szCs w:val="28"/>
        </w:rPr>
        <w:t>1</w:t>
      </w: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ascii="PT Astra Serif" w:hAnsi="PT Astra Serif"/>
          <w:b w:val="false"/>
          <w:sz w:val="28"/>
          <w:szCs w:val="28"/>
        </w:rPr>
        <w:t>. Кандидатам на время подготовки и сдачи вступительных испытаний предоставляется дополнительный отпуск в соответствии</w:t>
        <w:br/>
        <w:t xml:space="preserve">с нормативными правовыми актами Российской Федерации. 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13</w:t>
      </w:r>
      <w:r>
        <w:rPr>
          <w:rFonts w:ascii="PT Astra Serif" w:hAnsi="PT Astra Serif"/>
          <w:sz w:val="28"/>
          <w:szCs w:val="28"/>
        </w:rPr>
        <w:t xml:space="preserve">. Вступительные испытания для приема на обучение в адъюнктуру проводятся в период с </w:t>
      </w: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rFonts w:ascii="PT Astra Serif" w:hAnsi="PT Astra Serif"/>
          <w:sz w:val="28"/>
          <w:szCs w:val="28"/>
        </w:rPr>
        <w:t xml:space="preserve"> по 15 июня 2027</w:t>
      </w:r>
      <w:r>
        <w:rPr>
          <w:rFonts w:eastAsia="Times New Roman" w:cs="PT Astra Serif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ascii="PT Astra Serif" w:hAnsi="PT Astra Serif"/>
          <w:sz w:val="28"/>
          <w:szCs w:val="28"/>
        </w:rPr>
        <w:t>года.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14. Кандидаты сдают вступительные испытания: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специальную дисциплину, соответствующую наименованию научной специальности;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философию;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иностранный язык (английский или немецкий).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Дополнительно проводится: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тестирование</w:t>
      </w:r>
      <w:r>
        <w:rPr>
          <w:rFonts w:cs="PT Astra Serif" w:ascii="PT Astra Serif" w:hAnsi="PT Astra Serif"/>
          <w:sz w:val="28"/>
          <w:szCs w:val="28"/>
        </w:rPr>
        <w:t xml:space="preserve"> кандидатов 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для</w:t>
      </w:r>
      <w:r>
        <w:rPr>
          <w:rFonts w:cs="PT Astra Serif" w:ascii="PT Astra Serif" w:hAnsi="PT Astra Serif"/>
          <w:sz w:val="28"/>
          <w:szCs w:val="28"/>
        </w:rPr>
        <w:t xml:space="preserve"> изучения их социально-психологического п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о</w:t>
      </w:r>
      <w:r>
        <w:rPr>
          <w:rFonts w:cs="PT Astra Serif" w:ascii="PT Astra Serif" w:hAnsi="PT Astra Serif"/>
          <w:sz w:val="28"/>
          <w:szCs w:val="28"/>
        </w:rPr>
        <w:t>ртрета;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оценка их физической подготовленности;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оценка их знаний русского языка и литературы в письменной форме в виде сочинения (педагогического эссе).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15. Результаты дополнительных испытаний с баллами, набранными</w:t>
        <w:br/>
        <w:t xml:space="preserve">в ходе вступительных испытаний, не суммируются. 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>
        <w:rPr>
          <w:rFonts w:eastAsia="Times New Roman" w:cs="Times New Roman" w:ascii="PT Astra Serif" w:hAnsi="PT Astra Serif"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ascii="PT Astra Serif" w:hAnsi="PT Astra Serif"/>
          <w:sz w:val="28"/>
          <w:szCs w:val="28"/>
        </w:rPr>
        <w:t>. Вступительные испытания проводятся на русском языке (за исключением вступительных испытаний по иностранному языку),</w:t>
        <w:br/>
      </w:r>
      <w:r>
        <w:rPr>
          <w:rFonts w:cs="PT Astra Serif" w:ascii="PT Astra Serif" w:hAnsi="PT Astra Serif"/>
          <w:sz w:val="28"/>
          <w:szCs w:val="28"/>
        </w:rPr>
        <w:t>в устной форме в виде экзамена.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1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7</w:t>
      </w:r>
      <w:r>
        <w:rPr>
          <w:rFonts w:cs="PT Astra Serif" w:ascii="PT Astra Serif" w:hAnsi="PT Astra Serif"/>
          <w:sz w:val="28"/>
          <w:szCs w:val="28"/>
        </w:rPr>
        <w:t>. </w:t>
      </w:r>
      <w:r>
        <w:rPr>
          <w:rFonts w:cs="PT Astra Serif" w:ascii="PT Astra Serif" w:hAnsi="PT Astra Serif"/>
          <w:b w:val="false"/>
          <w:sz w:val="28"/>
          <w:szCs w:val="28"/>
        </w:rPr>
        <w:t>Программы вступительных испытаний формируются на основе федеральных государственных требований по программам специалитета или магистратуры.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1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8</w:t>
      </w:r>
      <w:r>
        <w:rPr>
          <w:rFonts w:cs="PT Astra Serif" w:ascii="PT Astra Serif" w:hAnsi="PT Astra Serif"/>
          <w:sz w:val="28"/>
          <w:szCs w:val="28"/>
        </w:rPr>
        <w:t>. </w:t>
      </w:r>
      <w:r>
        <w:rPr>
          <w:rFonts w:cs="PT Astra Serif" w:ascii="PT Astra Serif" w:hAnsi="PT Astra Serif"/>
          <w:b w:val="false"/>
          <w:sz w:val="28"/>
          <w:szCs w:val="28"/>
        </w:rPr>
        <w:t>Вступительные испытания провод</w:t>
      </w:r>
      <w:r>
        <w:rPr>
          <w:rFonts w:eastAsia="Times New Roman" w:cs="PT Astra Serif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я</w:t>
      </w:r>
      <w:r>
        <w:rPr>
          <w:rFonts w:cs="PT Astra Serif" w:ascii="PT Astra Serif" w:hAnsi="PT Astra Serif"/>
          <w:b w:val="false"/>
          <w:sz w:val="28"/>
          <w:szCs w:val="28"/>
        </w:rPr>
        <w:t>тся как в устной, так</w:t>
        <w:br/>
        <w:t>и в письменной форме, а также с сочетанием указанных форм.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PT Astra Serif"/>
          <w:color w:val="000000"/>
          <w:spacing w:val="0"/>
          <w:sz w:val="28"/>
          <w:szCs w:val="28"/>
        </w:rPr>
      </w:pPr>
      <w:r>
        <w:rPr>
          <w:rFonts w:cs="PT Astra Serif" w:ascii="PT Astra Serif" w:hAnsi="PT Astra Serif"/>
          <w:color w:val="000000"/>
          <w:spacing w:val="0"/>
          <w:sz w:val="28"/>
          <w:szCs w:val="28"/>
        </w:rPr>
        <w:t>19. Уровень знаний кандидата определяется экзаменационной комиссией оценками «отлично», «хорошо», «удовлетворительно», «неудовлетворительно». Каждое вступительное и дополнительное испытание оценивается отдельно.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20</w:t>
      </w:r>
      <w:r>
        <w:rPr>
          <w:rFonts w:cs="PT Astra Serif" w:ascii="PT Astra Serif" w:hAnsi="PT Astra Serif"/>
          <w:sz w:val="28"/>
          <w:szCs w:val="28"/>
        </w:rPr>
        <w:t>. При нарушении кандидатом порядка проведения вступительного испытания председатель приемной комиссии (его заместитель) вправе удалить его с места проведения вступительного испытания с составлением акта об удалении.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spacing w:val="-2"/>
          <w:kern w:val="0"/>
          <w:sz w:val="28"/>
          <w:szCs w:val="28"/>
          <w:lang w:val="ru-RU" w:eastAsia="ru-RU" w:bidi="ar-SA"/>
        </w:rPr>
        <w:t>21</w:t>
      </w:r>
      <w:r>
        <w:rPr>
          <w:rFonts w:cs="PT Astra Serif" w:ascii="PT Astra Serif" w:hAnsi="PT Astra Serif"/>
          <w:spacing w:val="-2"/>
          <w:sz w:val="28"/>
          <w:szCs w:val="28"/>
        </w:rPr>
        <w:t>. По итогам сдачи каждого вступительного оформляются экзаменационные ведомости и протокол на каждого кандидата, в котором фиксируются вопросы экзаменаторов. Решение экзаменационной комиссии доводится кандидату в конце испытания в этот же день.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22</w:t>
      </w:r>
      <w:r>
        <w:rPr>
          <w:rFonts w:cs="PT Astra Serif" w:ascii="PT Astra Serif" w:hAnsi="PT Astra Serif"/>
          <w:sz w:val="28"/>
          <w:szCs w:val="28"/>
        </w:rPr>
        <w:t>. Кандидаты, получившие на одном из вступительных испытаний неудовлетворительную оценку (в том числе удалённые с места проведения вступительного испытания), к сдаче оставшихся вступительных испытаний не допускаются и в трёхдневный срок направляются к месту военной службы. Пересдача вступительных испытаний не допускается.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2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Fonts w:cs="PT Astra Serif" w:ascii="PT Astra Serif" w:hAnsi="PT Astra Serif"/>
          <w:sz w:val="28"/>
          <w:szCs w:val="28"/>
        </w:rPr>
        <w:t xml:space="preserve">. Материалы сдачи вступительных испытаний (в том числе выписка из протокола решения апелляционной комиссии) кандидатов хранятся в 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адъюнктуре и докторантуре научно-исследовательского центра</w:t>
      </w:r>
      <w:r>
        <w:rPr>
          <w:rFonts w:cs="PT Astra Serif" w:ascii="PT Astra Serif" w:hAnsi="PT Astra Serif"/>
          <w:sz w:val="28"/>
          <w:szCs w:val="28"/>
        </w:rPr>
        <w:t xml:space="preserve"> в течение одного года после окончания ими адъюнктуры, а кандидатов не зачисленных в адъюнктуру в течение одного года после завершения вступительных испытаний.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2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cs="PT Astra Serif" w:ascii="PT Astra Serif" w:hAnsi="PT Astra Serif"/>
          <w:sz w:val="28"/>
          <w:szCs w:val="28"/>
        </w:rPr>
        <w:t>. Кандидат после объявления решения экзаменационной комиссии</w:t>
        <w:br/>
        <w:t>о прохождении вступительного испытания вправе подать письменное заявление в апелляционную комиссию о нарушении, по его мнению, установленного порядка проведения вступительного испытания и (или) о несогласии с полученной на вступительном испытании оценкой.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2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</w:t>
      </w:r>
      <w:r>
        <w:rPr>
          <w:rFonts w:cs="PT Astra Serif" w:ascii="PT Astra Serif" w:hAnsi="PT Astra Serif"/>
          <w:sz w:val="28"/>
          <w:szCs w:val="28"/>
        </w:rPr>
        <w:t>. Рассмотрение апелляции не является пересдачей вступительного испытания. В ходе рассмотрения апелляции проверяется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2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cs="PT Astra Serif" w:ascii="PT Astra Serif" w:hAnsi="PT Astra Serif"/>
          <w:sz w:val="28"/>
          <w:szCs w:val="28"/>
        </w:rPr>
        <w:t>. Апелляция подается кандидатом в день объявления результатов вступительного испытания или в течение следующего рабочего дня на имя председателя апелляционной комиссии.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 xml:space="preserve">27. Рассмотрение апелляций проводится не позднее следующего рабочего дня после ее подачи. </w:t>
      </w:r>
    </w:p>
    <w:p>
      <w:pPr>
        <w:pStyle w:val="BodyText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28</w:t>
      </w:r>
      <w:r>
        <w:rPr>
          <w:rFonts w:ascii="PT Astra Serif" w:hAnsi="PT Astra Serif"/>
          <w:b w:val="false"/>
          <w:sz w:val="28"/>
          <w:szCs w:val="28"/>
        </w:rPr>
        <w:t>. Члены экзаменационной комиссии, а также кандидат, подавший апелляцию, имеют право присутствовать при рассмотрении апелляции.</w:t>
      </w:r>
    </w:p>
    <w:p>
      <w:pPr>
        <w:pStyle w:val="BodyText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29</w:t>
      </w:r>
      <w:r>
        <w:rPr>
          <w:rFonts w:ascii="PT Astra Serif" w:hAnsi="PT Astra Serif"/>
          <w:b w:val="false"/>
          <w:sz w:val="28"/>
          <w:szCs w:val="28"/>
        </w:rPr>
        <w:t xml:space="preserve">. Апелляционная комиссия в ходе рассмотрения апелляции использует аудио- и видеоинформацию, полученную с технических средств аудио- и видеофиксации, установленных в местах проведения вступительных испытаний. </w:t>
      </w:r>
    </w:p>
    <w:p>
      <w:pPr>
        <w:pStyle w:val="BodyText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30</w:t>
      </w:r>
      <w:r>
        <w:rPr>
          <w:rFonts w:ascii="PT Astra Serif" w:hAnsi="PT Astra Serif"/>
          <w:b w:val="false"/>
          <w:sz w:val="28"/>
          <w:szCs w:val="28"/>
        </w:rPr>
        <w:t xml:space="preserve">. По результатам рассмотрения апелляции выносится решение апелляционной комиссии об оценке по вступительному испытанию (повышение, понижение или оставление без изменения). </w:t>
      </w:r>
    </w:p>
    <w:p>
      <w:pPr>
        <w:pStyle w:val="BodyText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31</w:t>
      </w:r>
      <w:r>
        <w:rPr>
          <w:rFonts w:ascii="PT Astra Serif" w:hAnsi="PT Astra Serif"/>
          <w:b w:val="false"/>
          <w:sz w:val="28"/>
          <w:szCs w:val="28"/>
        </w:rPr>
        <w:t xml:space="preserve">. При возникновении разногласий в апелляционной комиссии проводится голосование, решение утверждается большинством голосов. При равенстве голосов решающим является голос председателя апелляционной комиссии. </w:t>
      </w:r>
    </w:p>
    <w:p>
      <w:pPr>
        <w:pStyle w:val="BodyText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32</w:t>
      </w:r>
      <w:r>
        <w:rPr>
          <w:rFonts w:ascii="PT Astra Serif" w:hAnsi="PT Astra Serif"/>
          <w:b w:val="false"/>
          <w:sz w:val="28"/>
          <w:szCs w:val="28"/>
        </w:rPr>
        <w:t xml:space="preserve">. Оформленное протоколом решение апелляционной комиссии доводится до сведения кандидата и хранится в его учетном деле. Факт ознакомления кандидата с решением апелляционной комиссии заверяется его подписью. 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33</w:t>
      </w:r>
      <w:r>
        <w:rPr>
          <w:rFonts w:cs="PT Astra Serif" w:ascii="PT Astra Serif" w:hAnsi="PT Astra Serif"/>
          <w:sz w:val="28"/>
          <w:szCs w:val="28"/>
        </w:rPr>
        <w:t>. По результатам вступительных испытаний приемная комиссия формирует списки кандидатов, прошедших вступительные испытания, с указанием количества набранных баллов по каждому вступительному испытанию, количества баллов, начисленных за индивидуальные достижения, а также суммарного количества набранных баллов.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3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cs="PT Astra Serif" w:ascii="PT Astra Serif" w:hAnsi="PT Astra Serif"/>
          <w:sz w:val="28"/>
          <w:szCs w:val="28"/>
        </w:rPr>
        <w:t>. Зачисление на обучение в адъюнктуру военной академии проводится в направлении от начала к концу списка кандидатов (зачисляются лица, имеющие более высокое количество набранных баллов на вступительных испытаниях).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При равных результатах вступительных испытаний преимущественным правом зачисления пользуются кандидаты, имеющие более высокий балл по специальной дисциплине.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cs="PT Astra Serif" w:ascii="PT Astra Serif" w:hAnsi="PT Astra Serif"/>
          <w:spacing w:val="-4"/>
          <w:sz w:val="28"/>
          <w:szCs w:val="28"/>
        </w:rPr>
        <w:t>При равном количестве баллов по всем вступительным испытаниям приемной комиссией учитываются индивидуальные достижения кандидатов.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35</w:t>
      </w:r>
      <w:r>
        <w:rPr>
          <w:rFonts w:cs="PT Astra Serif" w:ascii="PT Astra Serif" w:hAnsi="PT Astra Serif"/>
          <w:sz w:val="28"/>
          <w:szCs w:val="28"/>
        </w:rPr>
        <w:t>. К индивидуальны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м</w:t>
      </w:r>
      <w:r>
        <w:rPr>
          <w:rFonts w:cs="PT Astra Serif" w:ascii="PT Astra Serif" w:hAnsi="PT Astra Serif"/>
          <w:sz w:val="28"/>
          <w:szCs w:val="28"/>
        </w:rPr>
        <w:t xml:space="preserve"> достижени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ям кандидатов</w:t>
      </w:r>
      <w:r>
        <w:rPr>
          <w:rFonts w:cs="PT Astra Serif" w:ascii="PT Astra Serif" w:hAnsi="PT Astra Serif"/>
          <w:sz w:val="28"/>
          <w:szCs w:val="28"/>
        </w:rPr>
        <w:t xml:space="preserve"> относятся: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почётн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ое</w:t>
      </w:r>
      <w:r>
        <w:rPr>
          <w:rFonts w:cs="PT Astra Serif" w:ascii="PT Astra Serif" w:hAnsi="PT Astra Serif"/>
          <w:sz w:val="28"/>
          <w:szCs w:val="28"/>
        </w:rPr>
        <w:t xml:space="preserve"> звани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rFonts w:cs="PT Astra Serif" w:ascii="PT Astra Serif" w:hAnsi="PT Astra Serif"/>
          <w:sz w:val="28"/>
          <w:szCs w:val="28"/>
        </w:rPr>
        <w:t xml:space="preserve"> Российской Федерации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>2</w:t>
      </w:r>
      <w:r>
        <w:rPr>
          <w:rFonts w:cs="PT Astra Serif" w:ascii="PT Astra Serif" w:hAnsi="PT Astra Serif"/>
          <w:sz w:val="28"/>
          <w:szCs w:val="28"/>
        </w:rPr>
        <w:t xml:space="preserve"> балла;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п</w:t>
      </w:r>
      <w:r>
        <w:rPr>
          <w:rFonts w:cs="PT Astra Serif" w:ascii="PT Astra Serif" w:hAnsi="PT Astra Serif"/>
          <w:sz w:val="28"/>
          <w:szCs w:val="28"/>
        </w:rPr>
        <w:t xml:space="preserve">обеда в конкурсе научных работ международного уровня, награждение премиями международного уровня за научную работу, достижения в научной деятельности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>1</w:t>
      </w:r>
      <w:r>
        <w:rPr>
          <w:rFonts w:cs="PT Astra Serif" w:ascii="PT Astra Serif" w:hAnsi="PT Astra Serif"/>
          <w:sz w:val="28"/>
          <w:szCs w:val="28"/>
        </w:rPr>
        <w:t xml:space="preserve"> балл;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государственн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ая</w:t>
      </w:r>
      <w:r>
        <w:rPr>
          <w:rFonts w:cs="PT Astra Serif" w:ascii="PT Astra Serif" w:hAnsi="PT Astra Serif"/>
          <w:sz w:val="28"/>
          <w:szCs w:val="28"/>
        </w:rPr>
        <w:t xml:space="preserve"> награда Российской Федерации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 xml:space="preserve">1 </w:t>
      </w:r>
      <w:r>
        <w:rPr>
          <w:rFonts w:cs="PT Astra Serif" w:ascii="PT Astra Serif" w:hAnsi="PT Astra Serif"/>
          <w:sz w:val="28"/>
          <w:szCs w:val="28"/>
        </w:rPr>
        <w:t>балл;</w:t>
      </w:r>
    </w:p>
    <w:p>
      <w:pPr>
        <w:pStyle w:val="Normal"/>
        <w:widowControl/>
        <w:suppressAutoHyphens w:val="true"/>
        <w:overflowPunct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награды (медали, дипломы, грамоты, премии), полученных</w:t>
        <w:br/>
        <w:t xml:space="preserve">за победы (призовые места) на всероссийских и региональных конкурсах на лучшую научно-исследовательскую работу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 xml:space="preserve">1 </w:t>
      </w:r>
      <w:r>
        <w:rPr>
          <w:rFonts w:cs="PT Astra Serif" w:ascii="PT Astra Serif" w:hAnsi="PT Astra Serif"/>
          <w:sz w:val="28"/>
          <w:szCs w:val="28"/>
        </w:rPr>
        <w:t>балл за каждую награду;</w:t>
      </w:r>
    </w:p>
    <w:p>
      <w:pPr>
        <w:pStyle w:val="Normal"/>
        <w:widowControl/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 xml:space="preserve">диплом о высшем образовании с отличием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1 балл;</w:t>
      </w:r>
    </w:p>
    <w:p>
      <w:pPr>
        <w:pStyle w:val="Normal"/>
        <w:widowControl/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 xml:space="preserve">золотая медаль за отличное окончание образовательной организации высшего образования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1 балл;</w:t>
      </w:r>
    </w:p>
    <w:p>
      <w:pPr>
        <w:pStyle w:val="Normal"/>
        <w:widowControl/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удостоверени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rFonts w:cs="PT Astra Serif" w:ascii="PT Astra Serif" w:hAnsi="PT Astra Serif"/>
          <w:sz w:val="28"/>
          <w:szCs w:val="28"/>
        </w:rPr>
        <w:t xml:space="preserve"> ветерана боевых действий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1 балл;</w:t>
      </w:r>
    </w:p>
    <w:p>
      <w:pPr>
        <w:pStyle w:val="BodyText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cs="PT Astra Serif" w:ascii="PT Astra Serif" w:hAnsi="PT Astra Serif"/>
          <w:b w:val="false"/>
          <w:spacing w:val="-2"/>
          <w:sz w:val="28"/>
          <w:szCs w:val="28"/>
        </w:rPr>
        <w:t xml:space="preserve">результаты интеллектуальной деятельности </w:t>
      </w:r>
      <w:r>
        <w:rPr>
          <w:rFonts w:cs="PT Astra Serif" w:ascii="PT Astra Serif" w:hAnsi="PT Astra Serif"/>
          <w:b w:val="false"/>
          <w:bCs w:val="false"/>
          <w:spacing w:val="-2"/>
          <w:sz w:val="28"/>
          <w:szCs w:val="28"/>
        </w:rPr>
        <w:t>(патенты (свидетельства), зарегистрированны</w:t>
      </w:r>
      <w:r>
        <w:rPr>
          <w:rFonts w:eastAsia="Times New Roman" w:cs="PT Astra Serif" w:ascii="PT Astra Serif" w:hAnsi="PT Astra Serif"/>
          <w:b w:val="false"/>
          <w:bCs w:val="false"/>
          <w:color w:val="auto"/>
          <w:spacing w:val="-2"/>
          <w:kern w:val="0"/>
          <w:sz w:val="28"/>
          <w:szCs w:val="28"/>
          <w:lang w:val="ru-RU" w:eastAsia="ru-RU" w:bidi="ar-SA"/>
        </w:rPr>
        <w:t>е</w:t>
      </w:r>
      <w:r>
        <w:rPr>
          <w:rFonts w:cs="PT Astra Serif" w:ascii="PT Astra Serif" w:hAnsi="PT Astra Serif"/>
          <w:b w:val="false"/>
          <w:bCs w:val="false"/>
          <w:spacing w:val="-2"/>
          <w:sz w:val="28"/>
          <w:szCs w:val="28"/>
        </w:rPr>
        <w:t xml:space="preserve"> в установленн</w:t>
      </w:r>
      <w:r>
        <w:rPr>
          <w:rFonts w:eastAsia="Times New Roman" w:cs="PT Astra Serif" w:ascii="PT Astra Serif" w:hAnsi="PT Astra Serif"/>
          <w:b w:val="false"/>
          <w:bCs w:val="false"/>
          <w:color w:val="auto"/>
          <w:spacing w:val="-2"/>
          <w:kern w:val="0"/>
          <w:sz w:val="28"/>
          <w:szCs w:val="28"/>
          <w:lang w:val="ru-RU" w:eastAsia="ru-RU" w:bidi="ar-SA"/>
        </w:rPr>
        <w:t>ом</w:t>
      </w:r>
      <w:r>
        <w:rPr>
          <w:rFonts w:cs="PT Astra Serif" w:ascii="PT Astra Serif" w:hAnsi="PT Astra Serif"/>
          <w:b w:val="false"/>
          <w:bCs w:val="false"/>
          <w:spacing w:val="-2"/>
          <w:sz w:val="28"/>
          <w:szCs w:val="28"/>
        </w:rPr>
        <w:t xml:space="preserve"> порядке) </w:t>
      </w:r>
      <w:r>
        <w:rPr>
          <w:rFonts w:eastAsia="OpenSymbol;Arial Unicode MS" w:cs="PT Astra Serif" w:ascii="PT Astra Serif" w:hAnsi="PT Astra Serif"/>
          <w:b w:val="false"/>
          <w:bCs w:val="false"/>
          <w:spacing w:val="-2"/>
          <w:sz w:val="28"/>
          <w:szCs w:val="28"/>
        </w:rPr>
        <w:t xml:space="preserve">− </w:t>
      </w:r>
      <w:r>
        <w:rPr>
          <w:rFonts w:cs="PT Astra Serif" w:ascii="PT Astra Serif" w:hAnsi="PT Astra Serif"/>
          <w:b w:val="false"/>
          <w:bCs w:val="false"/>
          <w:spacing w:val="-2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b w:val="false"/>
          <w:bCs w:val="false"/>
          <w:color w:val="auto"/>
          <w:spacing w:val="-2"/>
          <w:sz w:val="28"/>
          <w:szCs w:val="28"/>
          <w:lang w:val="ru-RU" w:eastAsia="zh-CN" w:bidi="ar-SA"/>
        </w:rPr>
        <w:t xml:space="preserve">1 </w:t>
      </w:r>
      <w:r>
        <w:rPr>
          <w:rFonts w:cs="PT Astra Serif" w:ascii="PT Astra Serif" w:hAnsi="PT Astra Serif"/>
          <w:b w:val="false"/>
          <w:bCs w:val="false"/>
          <w:spacing w:val="-2"/>
          <w:sz w:val="28"/>
          <w:szCs w:val="28"/>
        </w:rPr>
        <w:t>балл за каждый результат;</w:t>
      </w:r>
    </w:p>
    <w:p>
      <w:pPr>
        <w:pStyle w:val="Normal"/>
        <w:widowControl/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b w:val="false"/>
          <w:color w:val="auto"/>
          <w:kern w:val="0"/>
          <w:sz w:val="28"/>
          <w:szCs w:val="28"/>
          <w:lang w:val="ru-RU" w:eastAsia="ru-RU" w:bidi="ar-SA"/>
        </w:rPr>
        <w:t>публикаций в рецензируемых научных изданиях, в приравненных</w:t>
        <w:br/>
        <w:t xml:space="preserve">к ним научных изданиях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 xml:space="preserve">1 </w:t>
      </w:r>
      <w:r>
        <w:rPr>
          <w:rFonts w:cs="PT Astra Serif" w:ascii="PT Astra Serif" w:hAnsi="PT Astra Serif"/>
          <w:sz w:val="28"/>
          <w:szCs w:val="28"/>
        </w:rPr>
        <w:t>балл за каждую статью.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Индивидуальные достижения должны быть подтверждены копиями соответствующих документов, прилагаемых к рапорту о приеме в адъюнктуру. Приемная комиссия, при необходимости, вправе потребовать для ознакомления оригиналы документов, подтверждающих индивидуальные достижения.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3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cs="PT Astra Serif" w:ascii="PT Astra Serif" w:hAnsi="PT Astra Serif"/>
          <w:sz w:val="28"/>
          <w:szCs w:val="28"/>
        </w:rPr>
        <w:t>. Решение о приеме в адъюнктуру или об отказе в приеме оформляется протоколом и сообщается кандидату в пятидневный срок после принятия решения приемной комиссией, но не позднее чем за 15 дней до начала учебного года.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3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7</w:t>
      </w:r>
      <w:r>
        <w:rPr>
          <w:rFonts w:cs="PT Astra Serif" w:ascii="PT Astra Serif" w:hAnsi="PT Astra Serif"/>
          <w:sz w:val="28"/>
          <w:szCs w:val="28"/>
        </w:rPr>
        <w:t>. Зачисление кандидатов в адъюнктуру производится приказом начальника военной академии.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3" w:before="0" w:after="0"/>
        <w:ind w:firstLine="709" w:left="0" w:right="0"/>
        <w:jc w:val="both"/>
        <w:rPr/>
      </w:pPr>
      <w:r>
        <w:rPr>
          <w:rFonts w:cs="PT Astra Serif" w:ascii="PT Astra Serif" w:hAnsi="PT Astra Serif"/>
          <w:sz w:val="28"/>
          <w:szCs w:val="28"/>
        </w:rPr>
        <w:t xml:space="preserve">38. Приказы о зачислении направляются в </w:t>
      </w:r>
      <w:r>
        <w:rPr>
          <w:rFonts w:cs="PT Astra Serif" w:ascii="PT Astra Serif" w:hAnsi="PT Astra Serif"/>
          <w:b w:val="false"/>
          <w:bCs w:val="false"/>
          <w:spacing w:val="0"/>
          <w:sz w:val="28"/>
          <w:szCs w:val="28"/>
          <w:shd w:fill="auto" w:val="clear"/>
        </w:rPr>
        <w:t>Главное управление образования и науки и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Style w:val="Emphasis"/>
          <w:rFonts w:cs="PT Astra Serif" w:ascii="PT Astra Serif" w:hAnsi="PT Astra Serif"/>
          <w:b w:val="false"/>
          <w:bCs w:val="false"/>
          <w:i w:val="false"/>
          <w:iCs w:val="false"/>
          <w:sz w:val="28"/>
          <w:szCs w:val="28"/>
        </w:rPr>
        <w:t>Главное управление кадров Федеральной службы войск национальной гвардии Российской Федерации</w:t>
      </w:r>
      <w:r>
        <w:rPr>
          <w:rFonts w:cs="PT Astra Serif" w:ascii="PT Astra Serif" w:hAnsi="PT Astra Serif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cs="PT Astra Serif" w:ascii="PT Astra Serif" w:hAnsi="PT Astra Serif"/>
          <w:sz w:val="28"/>
          <w:szCs w:val="28"/>
        </w:rPr>
        <w:t>для подготовки приказа по личному составу об освобождении от занимаемых должностей офицеров, зачисленных в адъюнктуру по очной форме обучения.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1906" w:h="16838"/>
      <w:pgMar w:left="1701" w:right="1134" w:gutter="0" w:header="567" w:top="112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swiss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PT Astra Serif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Style22"/>
        </w:rPr>
        <w:footnoteRef/>
      </w:r>
      <w:r>
        <w:rPr/>
        <w:t xml:space="preserve"> </w:t>
      </w:r>
      <w:r>
        <w:rPr/>
        <w:t xml:space="preserve">Далее </w:t>
      </w:r>
      <w:r>
        <w:rPr>
          <w:rFonts w:ascii="PT Astra Serif" w:hAnsi="PT Astra Serif"/>
        </w:rPr>
        <w:t>—</w:t>
      </w:r>
      <w:r>
        <w:rPr/>
        <w:t xml:space="preserve"> «адъюнктура»;</w:t>
      </w:r>
    </w:p>
  </w:footnote>
  <w:footnote w:id="3">
    <w:p>
      <w:pPr>
        <w:pStyle w:val="FootnoteText"/>
        <w:rPr>
          <w:rFonts w:ascii="PT Astra Serif" w:hAnsi="PT Astra Serif"/>
        </w:rPr>
      </w:pPr>
      <w:r>
        <w:rPr>
          <w:rStyle w:val="Style22"/>
        </w:rPr>
        <w:footnoteRef/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Далее — «военная академия»;</w:t>
      </w:r>
    </w:p>
  </w:footnote>
  <w:footnote w:id="4">
    <w:p>
      <w:pPr>
        <w:pStyle w:val="FootnoteText"/>
        <w:rPr>
          <w:rFonts w:ascii="PT Astra Serif" w:hAnsi="PT Astra Serif"/>
        </w:rPr>
      </w:pPr>
      <w:r>
        <w:rPr>
          <w:rStyle w:val="Style22"/>
        </w:rPr>
        <w:footnoteRef/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Далее — «ВООВО»;</w:t>
      </w:r>
    </w:p>
  </w:footnote>
  <w:footnote w:id="5">
    <w:p>
      <w:pPr>
        <w:pStyle w:val="FootnoteText"/>
        <w:rPr/>
      </w:pPr>
      <w:r>
        <w:rPr>
          <w:rStyle w:val="Style22"/>
        </w:rPr>
        <w:footnoteRef/>
      </w:r>
      <w:r>
        <w:rPr/>
        <w:t xml:space="preserve"> </w:t>
      </w:r>
      <w:r>
        <w:rPr/>
        <w:t xml:space="preserve">Далее </w:t>
      </w:r>
      <w:r>
        <w:rPr>
          <w:rFonts w:ascii="PT Astra Serif" w:hAnsi="PT Astra Serif"/>
        </w:rPr>
        <w:t>—</w:t>
      </w:r>
      <w:r>
        <w:rPr/>
        <w:t xml:space="preserve"> «правила»;</w:t>
      </w:r>
    </w:p>
  </w:footnote>
  <w:footnote w:id="6">
    <w:p>
      <w:pPr>
        <w:pStyle w:val="FootnoteText"/>
        <w:rPr/>
      </w:pPr>
      <w:r>
        <w:rPr>
          <w:rStyle w:val="Style22"/>
        </w:rPr>
        <w:footnoteRef/>
      </w:r>
      <w:r>
        <w:rPr/>
        <w:t xml:space="preserve"> </w:t>
      </w:r>
      <w:r>
        <w:rPr>
          <w:rFonts w:ascii="PT Astra Serif" w:hAnsi="PT Astra Serif"/>
        </w:rPr>
        <w:t>Далее — «кандидаты».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PT Astra Serif" w:hAnsi="PT Astra Serif"/>
        <w:sz w:val="24"/>
        <w:szCs w:val="24"/>
      </w:rPr>
    </w:pPr>
    <w:r>
      <w:rPr>
        <w:rFonts w:ascii="PT Astra Serif" w:hAnsi="PT Astra Serif"/>
        <w:sz w:val="24"/>
        <w:szCs w:val="24"/>
      </w:rPr>
      <w:fldChar w:fldCharType="begin"/>
    </w:r>
    <w:r>
      <w:rPr>
        <w:sz w:val="24"/>
        <w:szCs w:val="24"/>
        <w:rFonts w:ascii="PT Astra Serif" w:hAnsi="PT Astra Serif"/>
      </w:rPr>
      <w:instrText xml:space="preserve"> PAGE </w:instrText>
    </w:r>
    <w:r>
      <w:rPr>
        <w:sz w:val="24"/>
        <w:szCs w:val="24"/>
        <w:rFonts w:ascii="PT Astra Serif" w:hAnsi="PT Astra Serif"/>
      </w:rPr>
      <w:fldChar w:fldCharType="separate"/>
    </w:r>
    <w:r>
      <w:rPr>
        <w:sz w:val="24"/>
        <w:szCs w:val="24"/>
        <w:rFonts w:ascii="PT Astra Serif" w:hAnsi="PT Astra Serif"/>
      </w:rPr>
      <w:t>6</w:t>
    </w:r>
    <w:r>
      <w:rPr>
        <w:sz w:val="24"/>
        <w:szCs w:val="24"/>
        <w:rFonts w:ascii="PT Astra Serif" w:hAnsi="PT Astra Serif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0"/>
      <w:outlineLvl w:val="0"/>
    </w:pPr>
    <w:rPr>
      <w:rFonts w:ascii="Cambria" w:hAnsi="Cambria" w:eastAsia="Calibri" w:cs="Tahom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ind w:hanging="0" w:left="426" w:right="0"/>
      <w:outlineLvl w:val="3"/>
    </w:pPr>
    <w:rPr>
      <w:sz w:val="28"/>
    </w:rPr>
  </w:style>
  <w:style w:type="character" w:styleId="DefaultParagraphFont">
    <w:name w:val="Default Paragraph Font"/>
    <w:qFormat/>
    <w:rPr/>
  </w:style>
  <w:style w:type="character" w:styleId="2">
    <w:name w:val="Заголовок 2 Знак"/>
    <w:basedOn w:val="DefaultParagraphFont"/>
    <w:qFormat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3">
    <w:name w:val="Заголовок 3 Знак"/>
    <w:basedOn w:val="DefaultParagraphFont"/>
    <w:qFormat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Название Знак"/>
    <w:basedOn w:val="DefaultParagraphFont"/>
    <w:qFormat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Style16">
    <w:name w:val="Основной текст Знак"/>
    <w:basedOn w:val="DefaultParagraphFont"/>
    <w:qFormat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17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ru-RU"/>
    </w:rPr>
  </w:style>
  <w:style w:type="character" w:styleId="2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2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1">
    <w:name w:val="Основной текст с отступом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9">
    <w:name w:val="Схема документа Знак"/>
    <w:basedOn w:val="DefaultParagraphFont"/>
    <w:qFormat/>
    <w:rPr>
      <w:rFonts w:ascii="Tahoma" w:hAnsi="Tahoma" w:eastAsia="Times New Roman" w:cs="Tahoma"/>
      <w:sz w:val="20"/>
      <w:szCs w:val="20"/>
      <w:lang w:eastAsia="ru-RU"/>
    </w:rPr>
  </w:style>
  <w:style w:type="character" w:styleId="Style20">
    <w:name w:val="Тема примечания Знак"/>
    <w:basedOn w:val="Style11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2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22">
    <w:name w:val="Символ сноски"/>
    <w:qFormat/>
    <w:rPr>
      <w:vertAlign w:val="superscript"/>
    </w:rPr>
  </w:style>
  <w:style w:type="character" w:styleId="user">
    <w:name w:val="Символ сноски (user)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23">
    <w:name w:val="Символ концевой сноски"/>
    <w:qFormat/>
    <w:rPr>
      <w:vertAlign w:val="superscript"/>
    </w:rPr>
  </w:style>
  <w:style w:type="character" w:styleId="user1">
    <w:name w:val="Символ концевой сноски (user)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b/>
      <w:bCs/>
      <w:color w:val="365F91"/>
      <w:sz w:val="28"/>
      <w:szCs w:val="28"/>
      <w:lang w:eastAsia="ru-RU"/>
    </w:rPr>
  </w:style>
  <w:style w:type="character" w:styleId="user2">
    <w:name w:val="Символ нумерации (user)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24">
    <w:name w:val="Маркеры списка"/>
    <w:qFormat/>
    <w:rPr>
      <w:rFonts w:ascii="OpenSymbol" w:hAnsi="OpenSymbol" w:eastAsia="OpenSymbol" w:cs="OpenSymbol"/>
    </w:rPr>
  </w:style>
  <w:style w:type="character" w:styleId="Style25">
    <w:name w:val="Выделение"/>
    <w:qFormat/>
    <w:rPr>
      <w:i/>
      <w:iCs/>
    </w:rPr>
  </w:style>
  <w:style w:type="character" w:styleId="Emphasis">
    <w:name w:val="Emphasis"/>
    <w:qFormat/>
    <w:rPr>
      <w:i/>
      <w:iCs/>
    </w:rPr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32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72"/>
    </w:rPr>
  </w:style>
  <w:style w:type="paragraph" w:styleId="Style2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Indent">
    <w:name w:val="Normal Indent"/>
    <w:basedOn w:val="Normal"/>
    <w:qFormat/>
    <w:pPr>
      <w:ind w:hanging="0" w:left="720" w:right="0"/>
    </w:pPr>
    <w:rPr>
      <w:sz w:val="24"/>
      <w:szCs w:val="24"/>
    </w:rPr>
  </w:style>
  <w:style w:type="paragraph" w:styleId="FootnoteText">
    <w:name w:val="footnote text"/>
    <w:basedOn w:val="Normal"/>
    <w:pPr/>
    <w:rPr/>
  </w:style>
  <w:style w:type="paragraph" w:styleId="CommentText">
    <w:name w:val="annotation text"/>
    <w:basedOn w:val="Normal"/>
    <w:qFormat/>
    <w:pPr/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Колонтитулы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pPr/>
    <w:rPr/>
  </w:style>
  <w:style w:type="paragraph" w:styleId="ListBullet">
    <w:name w:val="List Bullet"/>
    <w:basedOn w:val="Normal"/>
    <w:autoRedefine/>
    <w:qFormat/>
    <w:pPr>
      <w:ind w:firstLine="709" w:left="0" w:right="-7"/>
      <w:jc w:val="both"/>
    </w:pPr>
    <w:rPr>
      <w:rFonts w:eastAsia="MS Mincho"/>
      <w:bCs/>
      <w:sz w:val="29"/>
      <w:szCs w:val="29"/>
    </w:rPr>
  </w:style>
  <w:style w:type="paragraph" w:styleId="ListBullet3">
    <w:name w:val="List Bullet 3"/>
    <w:basedOn w:val="Normal"/>
    <w:qFormat/>
    <w:pPr>
      <w:spacing w:before="0" w:after="0"/>
      <w:contextualSpacing/>
    </w:pPr>
    <w:rPr/>
  </w:style>
  <w:style w:type="paragraph" w:styleId="ListBullet4">
    <w:name w:val="List Bullet 4"/>
    <w:basedOn w:val="Normal"/>
    <w:qFormat/>
    <w:pPr>
      <w:ind w:hanging="283" w:left="849" w:right="0"/>
    </w:pPr>
    <w:rPr>
      <w:sz w:val="24"/>
      <w:szCs w:val="24"/>
    </w:rPr>
  </w:style>
  <w:style w:type="paragraph" w:styleId="ListBullet2">
    <w:name w:val="List Bullet 2"/>
    <w:basedOn w:val="Normal"/>
    <w:autoRedefine/>
    <w:qFormat/>
    <w:pPr>
      <w:ind w:firstLine="709" w:left="0" w:right="0"/>
      <w:jc w:val="both"/>
    </w:pPr>
    <w:rPr>
      <w:rFonts w:eastAsia="MS Mincho"/>
      <w:bCs/>
      <w:sz w:val="28"/>
      <w:szCs w:val="24"/>
    </w:rPr>
  </w:style>
  <w:style w:type="paragraph" w:styleId="Title">
    <w:name w:val="Title"/>
    <w:basedOn w:val="Normal"/>
    <w:qFormat/>
    <w:pPr>
      <w:widowControl w:val="false"/>
      <w:spacing w:lineRule="exact" w:line="300"/>
      <w:ind w:firstLine="709" w:left="0" w:right="0"/>
      <w:jc w:val="center"/>
    </w:pPr>
    <w:rPr>
      <w:color w:val="000000"/>
      <w:sz w:val="28"/>
      <w:szCs w:val="28"/>
    </w:rPr>
  </w:style>
  <w:style w:type="paragraph" w:styleId="BodyTextIndent">
    <w:name w:val="Body Text Indent"/>
    <w:basedOn w:val="Normal"/>
    <w:pPr>
      <w:ind w:firstLine="708" w:left="426" w:right="0"/>
      <w:jc w:val="both"/>
    </w:pPr>
    <w:rPr>
      <w:sz w:val="28"/>
    </w:rPr>
  </w:style>
  <w:style w:type="paragraph" w:styleId="Subtitle">
    <w:name w:val="Subtitle"/>
    <w:basedOn w:val="Normal"/>
    <w:next w:val="Normal"/>
    <w:qFormat/>
    <w:pPr>
      <w:overflowPunct w:val="true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 w:right="0"/>
    </w:pPr>
    <w:rPr/>
  </w:style>
  <w:style w:type="paragraph" w:styleId="BodyTextIndent3">
    <w:name w:val="Body Text Indent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BlockText">
    <w:name w:val="Block Text"/>
    <w:basedOn w:val="Normal"/>
    <w:qFormat/>
    <w:pPr>
      <w:ind w:hanging="0" w:left="1080" w:right="1075"/>
      <w:jc w:val="center"/>
    </w:pPr>
    <w:rPr>
      <w:sz w:val="28"/>
      <w:szCs w:val="24"/>
    </w:rPr>
  </w:style>
  <w:style w:type="paragraph" w:styleId="DocumentMap">
    <w:name w:val="Document Map"/>
    <w:basedOn w:val="Normal"/>
    <w:qFormat/>
    <w:pPr>
      <w:shd w:val="clear" w:fill="000080"/>
    </w:pPr>
    <w:rPr>
      <w:rFonts w:ascii="Tahoma" w:hAnsi="Tahoma" w:cs="Tahoma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2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Style30">
    <w:name w:val="Знак"/>
    <w:basedOn w:val="Normal"/>
    <w:autoRedefine/>
    <w:qFormat/>
    <w:pPr>
      <w:spacing w:lineRule="exact" w:line="240" w:before="0" w:after="160"/>
      <w:ind w:hanging="0" w:left="26" w:right="0"/>
    </w:pPr>
    <w:rPr>
      <w:sz w:val="24"/>
      <w:szCs w:val="24"/>
      <w:lang w:val="en-US" w:eastAsia="en-US"/>
    </w:rPr>
  </w:style>
  <w:style w:type="paragraph" w:styleId="11">
    <w:name w:val="Обычный1"/>
    <w:qFormat/>
    <w:pPr>
      <w:widowControl w:val="false"/>
      <w:suppressAutoHyphens w:val="true"/>
      <w:overflowPunct w:val="false"/>
      <w:bidi w:val="0"/>
      <w:spacing w:lineRule="auto" w:line="300" w:before="0" w:after="0"/>
      <w:ind w:firstLine="680" w:left="32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211">
    <w:name w:val="Основной текст 21"/>
    <w:basedOn w:val="11"/>
    <w:qFormat/>
    <w:pPr/>
    <w:rPr>
      <w:sz w:val="28"/>
    </w:rPr>
  </w:style>
  <w:style w:type="paragraph" w:styleId="212">
    <w:name w:val="Основной текст с отступом 21"/>
    <w:basedOn w:val="Normal"/>
    <w:qFormat/>
    <w:pPr>
      <w:widowControl w:val="false"/>
      <w:overflowPunct w:val="true"/>
      <w:ind w:firstLine="720" w:left="0" w:right="0"/>
      <w:jc w:val="both"/>
    </w:pPr>
    <w:rPr>
      <w:b/>
      <w:sz w:val="28"/>
    </w:rPr>
  </w:style>
  <w:style w:type="paragraph" w:styleId="headertext">
    <w:name w:val="headertext"/>
    <w:basedOn w:val="Normal"/>
    <w:qFormat/>
    <w:pPr>
      <w:spacing w:before="280" w:after="280"/>
    </w:pPr>
    <w:rPr>
      <w:sz w:val="24"/>
      <w:szCs w:val="24"/>
    </w:rPr>
  </w:style>
  <w:style w:type="paragraph" w:styleId="12">
    <w:name w:val="Без интервала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0"/>
      <w:szCs w:val="22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3">
    <w:name w:val="Без интервала2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0"/>
      <w:szCs w:val="22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both"/>
    </w:pPr>
    <w:rPr>
      <w:sz w:val="24"/>
      <w:szCs w:val="24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eastAsia="ar-SA"/>
    </w:rPr>
  </w:style>
  <w:style w:type="paragraph" w:styleId="Style32">
    <w:name w:val="Стиль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2">
    <w:name w:val="Без интервала3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0"/>
      <w:szCs w:val="22"/>
      <w:lang w:val="ru-RU" w:eastAsia="ru-RU" w:bidi="ar-SA"/>
    </w:rPr>
  </w:style>
  <w:style w:type="paragraph" w:styleId="Footnote">
    <w:name w:val="Footnote"/>
    <w:basedOn w:val="Normal"/>
    <w:qFormat/>
    <w:pPr/>
    <w:rPr>
      <w:color w:val="000000"/>
    </w:rPr>
  </w:style>
  <w:style w:type="paragraph" w:styleId="24">
    <w:name w:val="Основной текст с отступом 2"/>
    <w:basedOn w:val="Normal"/>
    <w:qFormat/>
    <w:pPr>
      <w:ind w:firstLine="720" w:left="0" w:right="0"/>
      <w:jc w:val="both"/>
    </w:pPr>
    <w:rPr>
      <w:color w:val="000000"/>
      <w:sz w:val="28"/>
    </w:rPr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numbering" w:styleId="user7">
    <w:name w:val="Без списка (user)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Application>LibreOffice/25.2.6.2$Linux_X86_64 LibreOffice_project/520$Build-2</Application>
  <AppVersion>15.0000</AppVersion>
  <Pages>6</Pages>
  <Words>1592</Words>
  <Characters>11943</Characters>
  <CharactersWithSpaces>13470</CharactersWithSpaces>
  <Paragraphs>87</Paragraphs>
  <Company>СПВИ ВВ МВД России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2019-09-03T06:00:00Z</dcterms:created>
  <dc:creator>Танатаров Владимир Владимирович</dc:creator>
  <dc:description/>
  <dc:language>ru-RU</dc:language>
  <cp:lastModifiedBy/>
  <cp:lastPrinted>2024-11-25T14:53:57Z</cp:lastPrinted>
  <dcterms:modified xsi:type="dcterms:W3CDTF">2026-07-08T10:36:46Z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_DocHome">
    <vt:i4>-744201248</vt:i4>
  </property>
</Properties>
</file>