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ПРАВИЛА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приема в докторантуру научно-исследовательского центра</w:t>
        <w:br/>
        <w:t>Военной ордена Жукова академии войск национальной гвардии</w:t>
        <w:br/>
        <w:t>Российской Федерации в 2027 году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Style35"/>
        <w:widowControl/>
        <w:suppressAutoHyphens w:val="true"/>
        <w:overflowPunct w:val="fals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color w:val="000000"/>
          <w:sz w:val="28"/>
          <w:szCs w:val="28"/>
        </w:rPr>
        <w:t>1. Прием в докторантуру научно-исследовательского центра</w:t>
      </w:r>
      <w:r>
        <w:rPr>
          <w:rStyle w:val="FootnoteReference"/>
          <w:rFonts w:cs="PT Astra Serif" w:ascii="PT Astra Serif" w:hAnsi="PT Astra Serif"/>
          <w:color w:val="000000"/>
          <w:sz w:val="28"/>
          <w:szCs w:val="28"/>
        </w:rPr>
        <w:footnoteReference w:id="2"/>
      </w:r>
      <w:r>
        <w:rPr>
          <w:rFonts w:cs="PT Astra Serif" w:ascii="PT Astra Serif" w:hAnsi="PT Astra Serif"/>
          <w:color w:val="000000"/>
          <w:sz w:val="28"/>
          <w:szCs w:val="28"/>
        </w:rPr>
        <w:t xml:space="preserve"> Военной ордена Жукова академии войск национальной гвардии Российской Федерации</w:t>
      </w:r>
      <w:r>
        <w:rPr>
          <w:rStyle w:val="FootnoteReference"/>
          <w:rFonts w:cs="PT Astra Serif" w:ascii="PT Astra Serif" w:hAnsi="PT Astra Serif"/>
          <w:color w:val="000000"/>
          <w:sz w:val="28"/>
          <w:szCs w:val="28"/>
        </w:rPr>
        <w:footnoteReference w:id="3"/>
      </w:r>
      <w:r>
        <w:rPr>
          <w:rFonts w:cs="PT Astra Serif" w:ascii="PT Astra Serif" w:hAnsi="PT Astra Serif"/>
          <w:color w:val="C9211E"/>
          <w:sz w:val="28"/>
          <w:szCs w:val="28"/>
        </w:rPr>
        <w:t xml:space="preserve"> </w:t>
      </w:r>
      <w:r>
        <w:rPr>
          <w:rFonts w:cs="PT Astra Serif" w:ascii="PT Astra Serif" w:hAnsi="PT Astra Serif"/>
          <w:color w:val="000000"/>
          <w:sz w:val="28"/>
          <w:szCs w:val="28"/>
        </w:rPr>
        <w:t xml:space="preserve">осуществляется в соответствии с </w:t>
      </w:r>
      <w:r>
        <w:rPr>
          <w:rFonts w:eastAsia="Times New Roman" w:cs="PT Astra Serif" w:ascii="PT Astra Serif" w:hAnsi="PT Astra Serif"/>
          <w:color w:val="000000"/>
          <w:kern w:val="0"/>
          <w:sz w:val="28"/>
          <w:szCs w:val="28"/>
          <w:lang w:val="ru-RU" w:eastAsia="ru-RU" w:bidi="ar-SA"/>
        </w:rPr>
        <w:t>Положением о докторантуре утвержденным Постановлением правительства Российской Федерации от 4 апреля 2014 г. № 267 «Об утверждении Положения о докторантуре» и настоящими правилами приема в докторантуру</w:t>
      </w:r>
      <w:r>
        <w:rPr>
          <w:rStyle w:val="FootnoteReference"/>
          <w:rFonts w:eastAsia="Times New Roman" w:cs="PT Astra Serif" w:ascii="PT Astra Serif" w:hAnsi="PT Astra Serif"/>
          <w:color w:val="000000"/>
          <w:kern w:val="0"/>
          <w:sz w:val="28"/>
          <w:szCs w:val="28"/>
          <w:lang w:val="ru-RU" w:eastAsia="ru-RU" w:bidi="ar-SA"/>
        </w:rPr>
        <w:footnoteReference w:id="4"/>
      </w:r>
      <w:r>
        <w:rPr>
          <w:rFonts w:eastAsia="Times New Roman" w:cs="PT Astra Serif" w:ascii="PT Astra Serif" w:hAnsi="PT Astra Serif"/>
          <w:color w:val="000000"/>
          <w:kern w:val="0"/>
          <w:sz w:val="28"/>
          <w:szCs w:val="28"/>
          <w:lang w:val="ru-RU" w:eastAsia="ru-RU" w:bidi="ar-SA"/>
        </w:rPr>
        <w:t>.</w:t>
      </w:r>
    </w:p>
    <w:p>
      <w:pPr>
        <w:pStyle w:val="Style35"/>
        <w:widowControl/>
        <w:suppressAutoHyphens w:val="true"/>
        <w:overflowPunct w:val="fals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2. Прием кандидатов для подготовки диссертации на соискание ученой степени доктора наук осуществляется на конкурсной основе,</w:t>
        <w:br/>
        <w:t>на научные специальности: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5.1.1 Теоретико-исторические правовые науки;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5.1.4 Уголовно- правовые науки;</w:t>
      </w:r>
    </w:p>
    <w:p>
      <w:pPr>
        <w:pStyle w:val="Normal"/>
        <w:widowControl/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5.8.1 Общая педагогика, история педагогики и образования;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5.8.7 Методология и технология профессионального образования;</w:t>
      </w:r>
    </w:p>
    <w:p>
      <w:pPr>
        <w:pStyle w:val="Normal"/>
        <w:widowControl/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6.2.1 Вооружение и военная техника;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eastAsia="Times New Roman" w:cs="PT Astra Serif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6.3.1 «Воинское обучение и воспитание, боевая подготовка, военная педагогика и психология, управление повседневной деятельностью войск.</w:t>
      </w:r>
    </w:p>
    <w:p>
      <w:pPr>
        <w:pStyle w:val="Normal"/>
        <w:widowControl/>
        <w:tabs>
          <w:tab w:val="clear" w:pos="708"/>
          <w:tab w:val="left" w:pos="1140" w:leader="none"/>
        </w:tabs>
        <w:suppressAutoHyphens w:val="true"/>
        <w:overflowPunct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3</w:t>
      </w:r>
      <w:r>
        <w:rPr>
          <w:rFonts w:cs="Times New Roman" w:ascii="PT Astra Serif" w:hAnsi="PT Astra Serif"/>
          <w:spacing w:val="-2"/>
          <w:sz w:val="28"/>
          <w:szCs w:val="28"/>
          <w:shd w:fill="auto" w:val="clear"/>
          <w:lang w:eastAsia="ru-RU"/>
        </w:rPr>
        <w:t xml:space="preserve">. В докторантуру может быть направлен </w:t>
      </w:r>
      <w:r>
        <w:rPr>
          <w:rFonts w:eastAsia="Times New Roman" w:cs="Times New Roman" w:ascii="PT Astra Serif" w:hAnsi="PT Astra Serif"/>
          <w:b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офицер войск национальной гвардии Российской Федерации</w:t>
      </w:r>
      <w:r>
        <w:rPr>
          <w:rStyle w:val="FootnoteReference"/>
          <w:rFonts w:eastAsia="Times New Roman" w:cs="Times New Roman" w:ascii="PT Astra Serif" w:hAnsi="PT Astra Serif"/>
          <w:b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footnoteReference w:id="5"/>
      </w:r>
      <w:r>
        <w:rPr>
          <w:rFonts w:cs="Times New Roman" w:ascii="PT Astra Serif" w:hAnsi="PT Astra Serif"/>
          <w:spacing w:val="-2"/>
          <w:sz w:val="28"/>
          <w:szCs w:val="28"/>
          <w:shd w:fill="auto" w:val="clear"/>
          <w:lang w:eastAsia="ru-RU"/>
        </w:rPr>
        <w:t>, осуществляющий педагогическую и (или) научную, научно-исследовательскую деятельность.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uppressAutoHyphens w:val="true"/>
        <w:overflowPunct w:val="true"/>
        <w:bidi w:val="0"/>
        <w:spacing w:lineRule="auto" w:line="235" w:before="0" w:after="0"/>
        <w:ind w:firstLine="709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Calibri" w:cs="Times New Roman" w:ascii="PT Astra Serif" w:hAnsi="PT Astra Serif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4. Кандидат</w:t>
      </w:r>
      <w:r>
        <w:rPr>
          <w:rFonts w:cs="Times New Roman" w:ascii="PT Astra Serif" w:hAnsi="PT Astra Serif"/>
          <w:sz w:val="28"/>
          <w:szCs w:val="28"/>
          <w:shd w:fill="auto" w:val="clear"/>
          <w:lang w:eastAsia="ru-RU"/>
        </w:rPr>
        <w:t xml:space="preserve"> должен иметь: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cs="Times New Roman"/>
          <w:sz w:val="28"/>
          <w:szCs w:val="28"/>
          <w:shd w:fill="auto" w:val="clear"/>
          <w:lang w:eastAsia="ru-RU"/>
        </w:rPr>
      </w:pPr>
      <w:r>
        <w:rPr>
          <w:rFonts w:cs="Times New Roman" w:ascii="PT Astra Serif" w:hAnsi="PT Astra Serif"/>
          <w:sz w:val="28"/>
          <w:szCs w:val="28"/>
          <w:shd w:fill="auto" w:val="clear"/>
          <w:lang w:eastAsia="ru-RU"/>
        </w:rPr>
        <w:t>ученую степень кандидата наук или ученую степень, полученную</w:t>
        <w:br/>
        <w:t>в иностранном государстве, признаваемую в Российской Федерации, обладателю которой предоставлены те же академические и (или) профессиональные права, что и кандидату наук в Российской Федерации;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cs="Times New Roman"/>
          <w:sz w:val="28"/>
          <w:szCs w:val="28"/>
          <w:shd w:fill="auto" w:val="clear"/>
          <w:lang w:eastAsia="ru-RU"/>
        </w:rPr>
      </w:pPr>
      <w:r>
        <w:rPr>
          <w:rFonts w:cs="Times New Roman" w:ascii="PT Astra Serif" w:hAnsi="PT Astra Serif"/>
          <w:sz w:val="28"/>
          <w:szCs w:val="28"/>
          <w:shd w:fill="auto" w:val="clear"/>
          <w:lang w:eastAsia="ru-RU"/>
        </w:rPr>
        <w:t>стаж педагогической и (или) научной работы не менее 5 лет;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 w:cs="Times New Roman"/>
          <w:sz w:val="28"/>
          <w:szCs w:val="28"/>
          <w:shd w:fill="auto" w:val="clear"/>
          <w:lang w:eastAsia="ru-RU"/>
        </w:rPr>
      </w:pPr>
      <w:r>
        <w:rPr>
          <w:rFonts w:cs="Times New Roman" w:ascii="PT Astra Serif" w:hAnsi="PT Astra Serif"/>
          <w:spacing w:val="0"/>
          <w:sz w:val="28"/>
          <w:szCs w:val="28"/>
          <w:shd w:fill="auto" w:val="clear"/>
          <w:lang w:eastAsia="ru-RU"/>
        </w:rPr>
        <w:t>научные достижения в избранной отрасли наук, подтвержденные списком работ, опубликованных в рецензируемых научных изданиях,</w:t>
        <w:br/>
        <w:t>и (или) результаты интеллектуальной деятельности (патенты, свидетельства), зарегистрированных в установленном порядке;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lineRule="auto" w:line="235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  <w:shd w:fill="auto" w:val="clear"/>
          <w:lang w:eastAsia="ru-RU"/>
        </w:rPr>
        <w:t>план подготовки диссертации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5</w:t>
      </w:r>
      <w:r>
        <w:rPr>
          <w:rFonts w:cs="PT Astra Serif" w:ascii="PT Astra Serif" w:hAnsi="PT Astra Serif"/>
          <w:sz w:val="28"/>
          <w:szCs w:val="28"/>
        </w:rPr>
        <w:t>. </w:t>
      </w:r>
      <w:r>
        <w:rPr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Направление в докторантуру осуществляется на основании рапорта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кандидата</w:t>
      </w:r>
      <w:r>
        <w:rPr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(по команде) в течение календарного года.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К</w:t>
      </w:r>
      <w:r>
        <w:rPr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рапорту</w:t>
      </w:r>
      <w:r>
        <w:rPr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прилагаются документы, подтверждающие его соответствие требованиям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пункта 4 настоящих Правил</w:t>
      </w:r>
      <w:r>
        <w:rPr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. Рапорт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кандидата</w:t>
      </w:r>
      <w:r>
        <w:rPr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о направлении в докторантуру подлежит обсуждению на заседании ученого (научного, научно-технического) совета организации, в которой он проходит военную службу</w:t>
      </w:r>
      <w:r>
        <w:rPr>
          <w:rStyle w:val="FootnoteReference"/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footnoteReference w:id="6"/>
      </w:r>
      <w:r>
        <w:rPr>
          <w:rFonts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, в целях выработки рекомендации этого совета (комиссии).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7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. Решение о направлении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кандидата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 в докторантуру принимается руководителем направляющей организации с учетом рекомендации ученого (научного, научно-технического) совета (аттестационной комиссии) в течение одного месяца со дня подачи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работником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 соответствующего рапорта.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8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. Направляющая организация в срок не позднее 1 апреля 202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7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 года представляет в в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оенную академию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 учебное дело, в состав которого включаются следующие документы: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-4"/>
          <w:kern w:val="0"/>
          <w:sz w:val="28"/>
          <w:szCs w:val="28"/>
          <w:shd w:fill="auto" w:val="clear"/>
          <w:lang w:val="ru-RU" w:eastAsia="ru-RU" w:bidi="ar-SA"/>
        </w:rPr>
        <w:t xml:space="preserve">письмо-ходатайство об участии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-4"/>
          <w:kern w:val="0"/>
          <w:sz w:val="28"/>
          <w:szCs w:val="28"/>
          <w:shd w:fill="auto" w:val="clear"/>
          <w:lang w:val="ru-RU" w:eastAsia="ru-RU" w:bidi="ar-SA"/>
        </w:rPr>
        <w:t>кандидата</w:t>
      </w:r>
      <w:r>
        <w:rPr>
          <w:rFonts w:cs="Times New Roman" w:ascii="PT Astra Serif" w:hAnsi="PT Astra Serif"/>
          <w:b w:val="false"/>
          <w:bCs w:val="false"/>
          <w:color w:val="000000"/>
          <w:spacing w:val="-4"/>
          <w:kern w:val="0"/>
          <w:sz w:val="28"/>
          <w:szCs w:val="28"/>
          <w:shd w:fill="auto" w:val="clear"/>
          <w:lang w:val="ru-RU" w:eastAsia="ru-RU" w:bidi="ar-SA"/>
        </w:rPr>
        <w:t xml:space="preserve"> в конкурсном отборе, подписанное руководителем направляющей организации и заверенное печатью направляющей организации (для военнослужащими не проходящих военную службу в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военной академии</w:t>
      </w:r>
      <w:r>
        <w:rPr>
          <w:rFonts w:cs="Times New Roman" w:ascii="PT Astra Serif" w:hAnsi="PT Astra Serif"/>
          <w:b w:val="false"/>
          <w:bCs w:val="false"/>
          <w:color w:val="000000"/>
          <w:spacing w:val="-4"/>
          <w:kern w:val="0"/>
          <w:sz w:val="28"/>
          <w:szCs w:val="28"/>
          <w:shd w:fill="auto" w:val="clear"/>
          <w:lang w:val="ru-RU" w:eastAsia="ru-RU" w:bidi="ar-SA"/>
        </w:rPr>
        <w:t>);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анкету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(приложение № 3 к методическим рекомендациям по ведению личных дел и послужных карт в войсках национальной гвардии Российской Федерации)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копии документов, удостоверяющих личность кандидата (паспорт, удостоверение личности);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копию диплома кандидата наук;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копию аттестата о присвоении ученого звания доцента (при наличии);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список опубликованных научных трудов кандидата, подписанный руководителем направляющей организации и заверенный печатью направляющей организации;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справку о научном (научно-педагогическом) стаже кандидата, в том числе о стаже работы в направляющей организации;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план подготовки диссертации;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overflowPunct w:val="true"/>
        <w:bidi w:val="0"/>
        <w:spacing w:lineRule="auto" w:line="247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PT Astra Serif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документы, подтверждающие 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индивидуальные</w:t>
      </w:r>
      <w:r>
        <w:rPr>
          <w:rFonts w:cs="PT Astra Serif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 достижения кандидата и результаты научной деятельности (аттестаты, сертификаты и свидетельства о повышении научной или педагогической квалификации, копии патентов, свидетельств, наград по результатам участия в конкурсах и др.).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>9</w:t>
      </w:r>
      <w:r>
        <w:rPr>
          <w:rFonts w:cs="PT Astra Serif" w:ascii="PT Astra Serif" w:hAnsi="PT Astra Serif"/>
          <w:spacing w:val="0"/>
          <w:sz w:val="28"/>
          <w:szCs w:val="28"/>
        </w:rPr>
        <w:t>. 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Для рассмотрения документов кандидатов на поступление в докторантуру приказом начальника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военной академии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 создается приемная комиссия.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Председателем приемной комиссии является начальник в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оенной академии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, в состав комиссии включаются: заместитель начальника военной академии по научной работе — начальник научно-исследовательского центра (заместитель председателя), начальник адъюнктуры и докторантуры научно-исследовательского центра (ответственный секретарь), председатели диссертационных советов, ведущие ученые из числа научно-педагогических работников. 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Организацию работы приемной комиссии осуществляет ответственный секретарь комиссии. Решение приемной комиссии принимается на ее заседании большинством голосов (при наличии не менее 2/3 утвержденного состава) и оформляется протоколом.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10. К индивидуальны</w:t>
      </w:r>
      <w:r>
        <w:rPr>
          <w:rFonts w:eastAsia="Times New Roman" w:cs="PT Astra Serif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>м</w:t>
      </w: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 xml:space="preserve"> достижени</w:t>
      </w:r>
      <w:r>
        <w:rPr>
          <w:rFonts w:eastAsia="Times New Roman" w:cs="PT Astra Serif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>ям</w:t>
      </w: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, учитываемых при при</w:t>
      </w:r>
      <w:r>
        <w:rPr>
          <w:rFonts w:eastAsia="Times New Roman" w:cs="PT Astra Serif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>е</w:t>
      </w: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ме</w:t>
        <w:br/>
        <w:t>в докторантуру в 202</w:t>
      </w: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7</w:t>
      </w:r>
      <w:r>
        <w:rPr>
          <w:rFonts w:eastAsia="Times New Roman" w:cs="PT Astra Serif" w:ascii="PT Astra Serif" w:hAnsi="PT Astra Serif"/>
          <w:color w:val="auto"/>
          <w:spacing w:val="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PT Astra Serif" w:ascii="PT Astra Serif" w:hAnsi="PT Astra Serif"/>
          <w:color w:val="000000"/>
          <w:spacing w:val="0"/>
          <w:kern w:val="0"/>
          <w:sz w:val="28"/>
          <w:szCs w:val="28"/>
          <w:lang w:val="ru-RU" w:eastAsia="ru-RU" w:bidi="ar-SA"/>
        </w:rPr>
        <w:t>году, относятся: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почётн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ое</w:t>
      </w:r>
      <w:r>
        <w:rPr>
          <w:rFonts w:cs="PT Astra Serif" w:ascii="PT Astra Serif" w:hAnsi="PT Astra Serif"/>
          <w:sz w:val="28"/>
          <w:szCs w:val="28"/>
        </w:rPr>
        <w:t xml:space="preserve"> звани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rFonts w:cs="PT Astra Serif" w:ascii="PT Astra Serif" w:hAnsi="PT Astra Serif"/>
          <w:sz w:val="28"/>
          <w:szCs w:val="28"/>
        </w:rPr>
        <w:t xml:space="preserve"> Российской Федерации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>2</w:t>
      </w:r>
      <w:r>
        <w:rPr>
          <w:rFonts w:cs="PT Astra Serif" w:ascii="PT Astra Serif" w:hAnsi="PT Astra Serif"/>
          <w:sz w:val="28"/>
          <w:szCs w:val="28"/>
        </w:rPr>
        <w:t xml:space="preserve"> балла;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PT Astra Serif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аттестат о присвоении ученого звания доцента — 2 балла;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false"/>
        <w:bidi w:val="0"/>
        <w:spacing w:lineRule="auto" w:line="240" w:before="0" w:after="0"/>
        <w:ind w:firstLine="709" w:left="0" w:right="0"/>
        <w:contextualSpacing/>
        <w:jc w:val="both"/>
        <w:rPr>
          <w:rFonts w:ascii="PT Astra Serif" w:hAnsi="PT Astra Serif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заключения по теме и развернутому плану подготовки докторской диссертации организации войск национальной гвардии Российской Федерации, заинтересованной в подготовке диссертации — 2 балла;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п</w:t>
      </w:r>
      <w:r>
        <w:rPr>
          <w:rFonts w:cs="PT Astra Serif" w:ascii="PT Astra Serif" w:hAnsi="PT Astra Serif"/>
          <w:sz w:val="28"/>
          <w:szCs w:val="28"/>
        </w:rPr>
        <w:t xml:space="preserve">обеда в конкурсе научных работ международного уровня, награждение премиями международного уровня за научную работу, достижения в научной деятельности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>1</w:t>
      </w:r>
      <w:r>
        <w:rPr>
          <w:rFonts w:cs="PT Astra Serif" w:ascii="PT Astra Serif" w:hAnsi="PT Astra Serif"/>
          <w:sz w:val="28"/>
          <w:szCs w:val="28"/>
        </w:rPr>
        <w:t xml:space="preserve"> балл;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государственн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ая</w:t>
      </w:r>
      <w:r>
        <w:rPr>
          <w:rFonts w:cs="PT Astra Serif" w:ascii="PT Astra Serif" w:hAnsi="PT Astra Serif"/>
          <w:sz w:val="28"/>
          <w:szCs w:val="28"/>
        </w:rPr>
        <w:t xml:space="preserve"> награда Российской Федерации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 xml:space="preserve">1 </w:t>
      </w:r>
      <w:r>
        <w:rPr>
          <w:rFonts w:cs="PT Astra Serif" w:ascii="PT Astra Serif" w:hAnsi="PT Astra Serif"/>
          <w:sz w:val="28"/>
          <w:szCs w:val="28"/>
        </w:rPr>
        <w:t>балл;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награды (медали, дипломы, грамоты, премии), полученных</w:t>
        <w:br/>
        <w:t xml:space="preserve">за победы (призовые места) на всероссийских и региональных конкурсах на лучшую научно-исследовательскую работу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</w:t>
      </w:r>
      <w:r>
        <w:rPr>
          <w:rFonts w:eastAsia="Times New Roman" w:cs="PT Astra Serif" w:ascii="PT Astra Serif" w:hAnsi="PT Astra Serif"/>
          <w:color w:val="auto"/>
          <w:sz w:val="28"/>
          <w:szCs w:val="28"/>
          <w:lang w:val="ru-RU" w:eastAsia="zh-CN" w:bidi="ar-SA"/>
        </w:rPr>
        <w:t xml:space="preserve">1 </w:t>
      </w:r>
      <w:r>
        <w:rPr>
          <w:rFonts w:cs="PT Astra Serif" w:ascii="PT Astra Serif" w:hAnsi="PT Astra Serif"/>
          <w:sz w:val="28"/>
          <w:szCs w:val="28"/>
        </w:rPr>
        <w:t>балл за каждую награду;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удостоверени</w:t>
      </w:r>
      <w:r>
        <w:rPr>
          <w:rFonts w:eastAsia="Times New Roman" w:cs="PT Astra Serif" w:ascii="PT Astra Serif" w:hAnsi="PT Astra Serif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rFonts w:cs="PT Astra Serif" w:ascii="PT Astra Serif" w:hAnsi="PT Astra Serif"/>
          <w:sz w:val="28"/>
          <w:szCs w:val="28"/>
        </w:rPr>
        <w:t xml:space="preserve"> ветерана боевых действий </w:t>
      </w:r>
      <w:r>
        <w:rPr>
          <w:rFonts w:eastAsia="OpenSymbol;Arial Unicode MS" w:cs="PT Astra Serif" w:ascii="PT Astra Serif" w:hAnsi="PT Astra Serif"/>
          <w:sz w:val="28"/>
          <w:szCs w:val="28"/>
        </w:rPr>
        <w:t>−</w:t>
      </w:r>
      <w:r>
        <w:rPr>
          <w:rFonts w:cs="PT Astra Serif" w:ascii="PT Astra Serif" w:hAnsi="PT Astra Serif"/>
          <w:sz w:val="28"/>
          <w:szCs w:val="28"/>
        </w:rPr>
        <w:t xml:space="preserve"> 1 балл.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  <w:shd w:fill="auto" w:val="clear"/>
        </w:rPr>
      </w:pPr>
      <w:r>
        <w:rPr>
          <w:rFonts w:eastAsia="Times New Roman" w:cs="PT Astra Serif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11. </w:t>
      </w:r>
      <w:r>
        <w:rPr>
          <w:rFonts w:eastAsia="Times New Roman" w:cs="PT Astra Serif" w:ascii="PT Astra Serif" w:hAnsi="PT Astra Serif"/>
          <w:b w:val="false"/>
          <w:color w:val="000000"/>
          <w:spacing w:val="-4"/>
          <w:kern w:val="0"/>
          <w:sz w:val="28"/>
          <w:szCs w:val="28"/>
          <w:shd w:fill="auto" w:val="clear"/>
          <w:lang w:val="ru-RU" w:eastAsia="ru-RU" w:bidi="ar-SA"/>
        </w:rPr>
        <w:t xml:space="preserve">Индивидуальные достижения должны быть подтверждены копиями соответствующих документов, прилагаемых к учебному делу кандидата. 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  <w:shd w:fill="auto" w:val="clear"/>
        </w:rPr>
      </w:pPr>
      <w:r>
        <w:rPr>
          <w:rFonts w:eastAsia="Times New Roman" w:cs="PT Astra Serif" w:ascii="PT Astra Serif" w:hAnsi="PT Astra Serif"/>
          <w:b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12. По результатам конкурсного отбора приемная комиссия дает мотивированное заключение о возможности (отказе) подготовки диссертаций лицами, участвовавшими в конкурсе.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13. На основании решения приемной комиссии издается приказ начальника военной академии о зачислении в докторантуру. Руководители направляющих организаций уведомляются о результатах конкурсного отбора не позднее 15 рабочих дней после заключительного заседания приемной комиссии.</w:t>
      </w:r>
    </w:p>
    <w:p>
      <w:pPr>
        <w:pStyle w:val="Normal"/>
        <w:widowControl/>
        <w:tabs>
          <w:tab w:val="clear" w:pos="708"/>
          <w:tab w:val="left" w:pos="221" w:leader="none"/>
          <w:tab w:val="left" w:pos="733" w:leader="none"/>
          <w:tab w:val="left" w:pos="4250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PT Astra Serif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14. Доклады о зачислении в докторантуру направляются в Главное управление образования и науки и </w:t>
      </w:r>
      <w:r>
        <w:rPr>
          <w:rStyle w:val="Emphasis"/>
          <w:rFonts w:eastAsia="Times New Roman" w:cs="PT Astra Serif" w:ascii="PT Astra Serif" w:hAnsi="PT Astra Serif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Главное управление кадров Федеральной службы войск национальной гвардии Российской Федерации</w:t>
      </w:r>
      <w:r>
        <w:rPr>
          <w:rFonts w:eastAsia="Times New Roman" w:cs="PT Astra Serif" w:ascii="PT Astra Serif" w:hAnsi="PT Astra Serif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для подготовки приказа по личному составу об освобождении от занимаемых должностей офицеров, зачисленных в докторантуру.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276" w:leader="none"/>
        </w:tabs>
        <w:suppressAutoHyphens w:val="true"/>
        <w:overflowPunct w:val="true"/>
        <w:bidi w:val="0"/>
        <w:spacing w:lineRule="auto" w:line="240" w:before="0" w:after="0"/>
        <w:ind w:firstLine="709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1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5</w:t>
      </w:r>
      <w:r>
        <w:rPr>
          <w:rFonts w:cs="Times New Roman" w:ascii="PT Astra Serif" w:hAnsi="PT Astra Serif"/>
          <w:b w:val="false"/>
          <w:bC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. Подготовка диссертации на соискание ученой степени доктора наук осуществляется в очной форме в срок до 3 лет.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1906" w:h="16838"/>
      <w:pgMar w:left="1701" w:right="1134" w:gutter="0" w:header="567" w:top="112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swiss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PT Astra Serif">
    <w:charset w:val="01"/>
    <w:family w:val="roman"/>
    <w:pitch w:val="default"/>
  </w:font>
  <w:font w:name="Liberation Mono">
    <w:altName w:val="Courier New"/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Style22"/>
        </w:rPr>
        <w:footnoteRef/>
      </w:r>
      <w:r>
        <w:rPr/>
        <w:t xml:space="preserve"> </w:t>
      </w:r>
      <w:r>
        <w:rPr/>
        <w:t xml:space="preserve">Далее </w:t>
      </w:r>
      <w:r>
        <w:rPr>
          <w:rFonts w:ascii="PT Astra Serif" w:hAnsi="PT Astra Serif"/>
        </w:rPr>
        <w:t>—</w:t>
      </w:r>
      <w:r>
        <w:rPr/>
        <w:t xml:space="preserve"> «докторантура»;</w:t>
      </w:r>
    </w:p>
  </w:footnote>
  <w:footnote w:id="3">
    <w:p>
      <w:pPr>
        <w:pStyle w:val="FootnoteText"/>
        <w:rPr/>
      </w:pPr>
      <w:r>
        <w:rPr>
          <w:rStyle w:val="Style22"/>
        </w:rPr>
        <w:footnoteRef/>
      </w:r>
      <w:r>
        <w:rPr/>
        <w:t xml:space="preserve"> </w:t>
      </w:r>
      <w:r>
        <w:rPr>
          <w:rFonts w:ascii="PT Astra Serif" w:hAnsi="PT Astra Serif"/>
        </w:rPr>
        <w:t>Далее — «военная академия»;</w:t>
      </w:r>
    </w:p>
  </w:footnote>
  <w:footnote w:id="4">
    <w:p>
      <w:pPr>
        <w:pStyle w:val="FootnoteText"/>
        <w:rPr/>
      </w:pPr>
      <w:r>
        <w:rPr>
          <w:rStyle w:val="Style22"/>
        </w:rPr>
        <w:footnoteRef/>
      </w:r>
      <w:r>
        <w:rPr/>
        <w:t xml:space="preserve"> </w:t>
      </w:r>
      <w:r>
        <w:rPr/>
        <w:t xml:space="preserve">Далее </w:t>
      </w:r>
      <w:r>
        <w:rPr>
          <w:rFonts w:ascii="PT Astra Serif" w:hAnsi="PT Astra Serif"/>
        </w:rPr>
        <w:t>—</w:t>
      </w:r>
      <w:r>
        <w:rPr/>
        <w:t xml:space="preserve"> «правила»;</w:t>
      </w:r>
    </w:p>
  </w:footnote>
  <w:footnote w:id="5">
    <w:p>
      <w:pPr>
        <w:pStyle w:val="FootnoteText"/>
        <w:rPr/>
      </w:pPr>
      <w:r>
        <w:rPr>
          <w:rStyle w:val="Style22"/>
        </w:rPr>
        <w:footnoteRef/>
      </w:r>
      <w:r>
        <w:rPr/>
        <w:t xml:space="preserve"> </w:t>
      </w:r>
      <w:r>
        <w:rPr>
          <w:rFonts w:ascii="PT Astra Serif" w:hAnsi="PT Astra Serif"/>
        </w:rPr>
        <w:t>Далее — «</w:t>
      </w:r>
      <w:r>
        <w:rPr>
          <w:rFonts w:eastAsia="Times New Roman" w:cs="Times New Roman" w:ascii="PT Astra Serif" w:hAnsi="PT Astra Serif"/>
          <w:color w:val="auto"/>
          <w:kern w:val="0"/>
          <w:sz w:val="20"/>
          <w:szCs w:val="20"/>
          <w:lang w:val="ru-RU" w:eastAsia="ru-RU" w:bidi="ar-SA"/>
        </w:rPr>
        <w:t>кандидат</w:t>
      </w:r>
      <w:r>
        <w:rPr>
          <w:rFonts w:ascii="PT Astra Serif" w:hAnsi="PT Astra Serif"/>
        </w:rPr>
        <w:t>».</w:t>
      </w:r>
    </w:p>
  </w:footnote>
  <w:footnote w:id="6">
    <w:p>
      <w:pPr>
        <w:pStyle w:val="FootnoteText"/>
        <w:rPr/>
      </w:pPr>
      <w:r>
        <w:rPr>
          <w:rStyle w:val="Style22"/>
        </w:rPr>
        <w:footnoteRef/>
      </w:r>
      <w:r>
        <w:rPr/>
        <w:t xml:space="preserve"> </w:t>
      </w:r>
      <w:r>
        <w:rPr/>
        <w:t xml:space="preserve">Далее </w:t>
      </w:r>
      <w:r>
        <w:rPr>
          <w:rFonts w:ascii="PT Astra Serif" w:hAnsi="PT Astra Serif"/>
        </w:rPr>
        <w:t>—</w:t>
      </w:r>
      <w:r>
        <w:rPr/>
        <w:t xml:space="preserve"> «направляющая организация».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PT Astra Serif" w:hAnsi="PT Astra Serif"/>
        <w:sz w:val="24"/>
        <w:szCs w:val="24"/>
      </w:rPr>
    </w:pPr>
    <w:r>
      <w:rPr>
        <w:rFonts w:ascii="PT Astra Serif" w:hAnsi="PT Astra Serif"/>
        <w:sz w:val="24"/>
        <w:szCs w:val="24"/>
      </w:rPr>
      <w:fldChar w:fldCharType="begin"/>
    </w:r>
    <w:r>
      <w:rPr>
        <w:sz w:val="24"/>
        <w:szCs w:val="24"/>
        <w:rFonts w:ascii="PT Astra Serif" w:hAnsi="PT Astra Serif"/>
      </w:rPr>
      <w:instrText xml:space="preserve"> PAGE </w:instrText>
    </w:r>
    <w:r>
      <w:rPr>
        <w:sz w:val="24"/>
        <w:szCs w:val="24"/>
        <w:rFonts w:ascii="PT Astra Serif" w:hAnsi="PT Astra Serif"/>
      </w:rPr>
      <w:fldChar w:fldCharType="separate"/>
    </w:r>
    <w:r>
      <w:rPr>
        <w:sz w:val="24"/>
        <w:szCs w:val="24"/>
        <w:rFonts w:ascii="PT Astra Serif" w:hAnsi="PT Astra Serif"/>
      </w:rPr>
      <w:t>3</w:t>
    </w:r>
    <w:r>
      <w:rPr>
        <w:sz w:val="24"/>
        <w:szCs w:val="24"/>
        <w:rFonts w:ascii="PT Astra Serif" w:hAnsi="PT Astra Serif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0"/>
      <w:outlineLvl w:val="0"/>
    </w:pPr>
    <w:rPr>
      <w:rFonts w:ascii="Cambria" w:hAnsi="Cambria" w:eastAsia="Calibri" w:cs="Tahom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ind w:hanging="0" w:left="426" w:right="0"/>
      <w:outlineLvl w:val="3"/>
    </w:pPr>
    <w:rPr>
      <w:sz w:val="28"/>
    </w:rPr>
  </w:style>
  <w:style w:type="character" w:styleId="DefaultParagraphFont">
    <w:name w:val="Default Paragraph Font"/>
    <w:qFormat/>
    <w:rPr/>
  </w:style>
  <w:style w:type="character" w:styleId="2">
    <w:name w:val="Заголовок 2 Знак"/>
    <w:basedOn w:val="DefaultParagraphFont"/>
    <w:qFormat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3">
    <w:name w:val="Заголовок 3 Знак"/>
    <w:basedOn w:val="DefaultParagraphFont"/>
    <w:qFormat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Название Знак"/>
    <w:basedOn w:val="DefaultParagraphFont"/>
    <w:qFormat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Style16">
    <w:name w:val="Основной текст Знак"/>
    <w:basedOn w:val="DefaultParagraphFont"/>
    <w:qFormat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17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ru-RU"/>
    </w:rPr>
  </w:style>
  <w:style w:type="character" w:styleId="2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2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1">
    <w:name w:val="Основной текст с отступом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9">
    <w:name w:val="Схема документа Знак"/>
    <w:basedOn w:val="DefaultParagraphFont"/>
    <w:qFormat/>
    <w:rPr>
      <w:rFonts w:ascii="Tahoma" w:hAnsi="Tahoma" w:eastAsia="Times New Roman" w:cs="Tahoma"/>
      <w:sz w:val="20"/>
      <w:szCs w:val="20"/>
      <w:lang w:eastAsia="ru-RU"/>
    </w:rPr>
  </w:style>
  <w:style w:type="character" w:styleId="Style20">
    <w:name w:val="Тема примечания Знак"/>
    <w:basedOn w:val="Style11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2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22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23">
    <w:name w:val="Символ концевой сноски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b/>
      <w:bCs/>
      <w:color w:val="365F91"/>
      <w:sz w:val="28"/>
      <w:szCs w:val="28"/>
      <w:lang w:eastAsia="ru-RU"/>
    </w:rPr>
  </w:style>
  <w:style w:type="character" w:styleId="Style24">
    <w:name w:val="Символ нумерации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25">
    <w:name w:val="Маркеры списка"/>
    <w:qFormat/>
    <w:rPr>
      <w:rFonts w:ascii="OpenSymbol" w:hAnsi="OpenSymbol" w:eastAsia="OpenSymbol" w:cs="OpenSymbol"/>
    </w:rPr>
  </w:style>
  <w:style w:type="character" w:styleId="Style26">
    <w:name w:val="Выделение"/>
    <w:qFormat/>
    <w:rPr>
      <w:i/>
      <w:iCs/>
    </w:rPr>
  </w:style>
  <w:style w:type="character" w:styleId="Emphasis">
    <w:name w:val="Emphasis"/>
    <w:qFormat/>
    <w:rPr>
      <w:i/>
      <w:iCs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32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72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NormalIndent">
    <w:name w:val="Normal Indent"/>
    <w:basedOn w:val="Normal"/>
    <w:qFormat/>
    <w:pPr>
      <w:ind w:hanging="0" w:left="720" w:right="0"/>
    </w:pPr>
    <w:rPr>
      <w:sz w:val="24"/>
      <w:szCs w:val="24"/>
    </w:rPr>
  </w:style>
  <w:style w:type="paragraph" w:styleId="FootnoteText">
    <w:name w:val="footnote text"/>
    <w:basedOn w:val="Normal"/>
    <w:pPr/>
    <w:rPr/>
  </w:style>
  <w:style w:type="paragraph" w:styleId="CommentText">
    <w:name w:val="annotation text"/>
    <w:basedOn w:val="Normal"/>
    <w:qFormat/>
    <w:pPr/>
    <w:rPr/>
  </w:style>
  <w:style w:type="paragraph" w:styleId="Style29">
    <w:name w:val="Верхний и нижний 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Style3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pPr/>
    <w:rPr/>
  </w:style>
  <w:style w:type="paragraph" w:styleId="ListBullet">
    <w:name w:val="List Bullet"/>
    <w:basedOn w:val="Normal"/>
    <w:autoRedefine/>
    <w:qFormat/>
    <w:pPr>
      <w:ind w:firstLine="709" w:left="0" w:right="-7"/>
      <w:jc w:val="both"/>
    </w:pPr>
    <w:rPr>
      <w:rFonts w:eastAsia="MS Mincho"/>
      <w:bCs/>
      <w:sz w:val="29"/>
      <w:szCs w:val="29"/>
    </w:rPr>
  </w:style>
  <w:style w:type="paragraph" w:styleId="ListBullet3">
    <w:name w:val="List Bullet 3"/>
    <w:basedOn w:val="Normal"/>
    <w:qFormat/>
    <w:pPr>
      <w:spacing w:before="0" w:after="0"/>
      <w:contextualSpacing/>
    </w:pPr>
    <w:rPr/>
  </w:style>
  <w:style w:type="paragraph" w:styleId="ListBullet4">
    <w:name w:val="List Bullet 4"/>
    <w:basedOn w:val="Normal"/>
    <w:qFormat/>
    <w:pPr>
      <w:ind w:hanging="283" w:left="849" w:right="0"/>
    </w:pPr>
    <w:rPr>
      <w:sz w:val="24"/>
      <w:szCs w:val="24"/>
    </w:rPr>
  </w:style>
  <w:style w:type="paragraph" w:styleId="ListBullet2">
    <w:name w:val="List Bullet 2"/>
    <w:basedOn w:val="Normal"/>
    <w:autoRedefine/>
    <w:qFormat/>
    <w:pPr>
      <w:ind w:firstLine="709" w:left="0" w:right="0"/>
      <w:jc w:val="both"/>
    </w:pPr>
    <w:rPr>
      <w:rFonts w:eastAsia="MS Mincho"/>
      <w:bCs/>
      <w:sz w:val="28"/>
      <w:szCs w:val="24"/>
    </w:rPr>
  </w:style>
  <w:style w:type="paragraph" w:styleId="Title">
    <w:name w:val="Title"/>
    <w:basedOn w:val="Normal"/>
    <w:qFormat/>
    <w:pPr>
      <w:widowControl w:val="false"/>
      <w:spacing w:lineRule="exact" w:line="300"/>
      <w:ind w:firstLine="709" w:left="0" w:right="0"/>
      <w:jc w:val="center"/>
    </w:pPr>
    <w:rPr>
      <w:color w:val="000000"/>
      <w:sz w:val="28"/>
      <w:szCs w:val="28"/>
    </w:rPr>
  </w:style>
  <w:style w:type="paragraph" w:styleId="BodyTextIndent">
    <w:name w:val="Body Text Indent"/>
    <w:basedOn w:val="Normal"/>
    <w:pPr>
      <w:ind w:firstLine="708" w:left="426" w:right="0"/>
      <w:jc w:val="both"/>
    </w:pPr>
    <w:rPr>
      <w:sz w:val="28"/>
    </w:rPr>
  </w:style>
  <w:style w:type="paragraph" w:styleId="Subtitle">
    <w:name w:val="Subtitle"/>
    <w:basedOn w:val="Normal"/>
    <w:next w:val="Normal"/>
    <w:qFormat/>
    <w:pPr>
      <w:overflowPunct w:val="true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 w:right="0"/>
    </w:pPr>
    <w:rPr/>
  </w:style>
  <w:style w:type="paragraph" w:styleId="BodyTextIndent3">
    <w:name w:val="Body Text Indent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BlockText">
    <w:name w:val="Block Text"/>
    <w:basedOn w:val="Normal"/>
    <w:qFormat/>
    <w:pPr>
      <w:ind w:hanging="0" w:left="1080" w:right="1075"/>
      <w:jc w:val="center"/>
    </w:pPr>
    <w:rPr>
      <w:sz w:val="28"/>
      <w:szCs w:val="24"/>
    </w:rPr>
  </w:style>
  <w:style w:type="paragraph" w:styleId="DocumentMap">
    <w:name w:val="Document Map"/>
    <w:basedOn w:val="Normal"/>
    <w:qFormat/>
    <w:pPr>
      <w:shd w:val="clear" w:fill="000080"/>
    </w:pPr>
    <w:rPr>
      <w:rFonts w:ascii="Tahoma" w:hAnsi="Tahoma" w:cs="Tahoma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2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Style31">
    <w:name w:val="Знак"/>
    <w:basedOn w:val="Normal"/>
    <w:autoRedefine/>
    <w:qFormat/>
    <w:pPr>
      <w:spacing w:lineRule="exact" w:line="240" w:before="0" w:after="160"/>
      <w:ind w:hanging="0" w:left="26" w:right="0"/>
    </w:pPr>
    <w:rPr>
      <w:sz w:val="24"/>
      <w:szCs w:val="24"/>
      <w:lang w:val="en-US" w:eastAsia="en-US"/>
    </w:rPr>
  </w:style>
  <w:style w:type="paragraph" w:styleId="11">
    <w:name w:val="Обычный1"/>
    <w:qFormat/>
    <w:pPr>
      <w:widowControl w:val="false"/>
      <w:suppressAutoHyphens w:val="true"/>
      <w:overflowPunct w:val="false"/>
      <w:bidi w:val="0"/>
      <w:spacing w:lineRule="auto" w:line="300" w:before="0" w:after="0"/>
      <w:ind w:firstLine="680" w:left="32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211">
    <w:name w:val="Основной текст 21"/>
    <w:basedOn w:val="11"/>
    <w:qFormat/>
    <w:pPr/>
    <w:rPr>
      <w:sz w:val="28"/>
    </w:rPr>
  </w:style>
  <w:style w:type="paragraph" w:styleId="212">
    <w:name w:val="Основной текст с отступом 21"/>
    <w:basedOn w:val="Normal"/>
    <w:qFormat/>
    <w:pPr>
      <w:widowControl w:val="false"/>
      <w:overflowPunct w:val="true"/>
      <w:ind w:firstLine="720" w:left="0" w:right="0"/>
      <w:jc w:val="both"/>
    </w:pPr>
    <w:rPr>
      <w:b/>
      <w:sz w:val="28"/>
    </w:rPr>
  </w:style>
  <w:style w:type="paragraph" w:styleId="headertext">
    <w:name w:val="headertext"/>
    <w:basedOn w:val="Normal"/>
    <w:qFormat/>
    <w:pPr>
      <w:spacing w:before="280" w:after="280"/>
    </w:pPr>
    <w:rPr>
      <w:sz w:val="24"/>
      <w:szCs w:val="24"/>
    </w:rPr>
  </w:style>
  <w:style w:type="paragraph" w:styleId="12">
    <w:name w:val="Без интервала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0"/>
      <w:szCs w:val="22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3">
    <w:name w:val="Без интервала2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0"/>
      <w:szCs w:val="22"/>
      <w:lang w:val="ru-RU" w:eastAsia="ru-RU" w:bidi="ar-SA"/>
    </w:rPr>
  </w:style>
  <w:style w:type="paragraph" w:styleId="Style32">
    <w:name w:val="Style3"/>
    <w:basedOn w:val="Normal"/>
    <w:qFormat/>
    <w:pPr>
      <w:widowControl w:val="false"/>
      <w:jc w:val="both"/>
    </w:pPr>
    <w:rPr>
      <w:sz w:val="24"/>
      <w:szCs w:val="24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eastAsia="ar-SA"/>
    </w:rPr>
  </w:style>
  <w:style w:type="paragraph" w:styleId="Style33">
    <w:name w:val="Стиль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2">
    <w:name w:val="Без интервала3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0"/>
      <w:szCs w:val="22"/>
      <w:lang w:val="ru-RU" w:eastAsia="ru-RU" w:bidi="ar-SA"/>
    </w:rPr>
  </w:style>
  <w:style w:type="paragraph" w:styleId="Footnote">
    <w:name w:val="Footnote"/>
    <w:basedOn w:val="Normal"/>
    <w:qFormat/>
    <w:pPr/>
    <w:rPr>
      <w:color w:val="000000"/>
    </w:rPr>
  </w:style>
  <w:style w:type="paragraph" w:styleId="24">
    <w:name w:val="Основной текст с отступом 2"/>
    <w:basedOn w:val="Normal"/>
    <w:qFormat/>
    <w:pPr>
      <w:ind w:firstLine="720" w:left="0" w:right="0"/>
      <w:jc w:val="both"/>
    </w:pPr>
    <w:rPr>
      <w:color w:val="000000"/>
      <w:sz w:val="28"/>
    </w:rPr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Style36">
    <w:name w:val="Без списка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Application>LibreOffice/25.2.6.2$Linux_X86_64 LibreOffice_project/520$Build-2</Application>
  <AppVersion>15.0000</AppVersion>
  <Pages>3</Pages>
  <Words>781</Words>
  <Characters>5830</Characters>
  <CharactersWithSpaces>6575</CharactersWithSpaces>
  <Paragraphs>51</Paragraphs>
  <Company>СПВИ ВВ МВД России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2019-09-03T06:00:00Z</dcterms:created>
  <dc:creator>Танатаров Владимир Владимирович</dc:creator>
  <dc:description/>
  <dc:language>ru-RU</dc:language>
  <cp:lastModifiedBy/>
  <cp:lastPrinted>2024-11-25T14:53:57Z</cp:lastPrinted>
  <dcterms:modified xsi:type="dcterms:W3CDTF">2026-07-08T09:31:19Z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_DocHome">
    <vt:i4>-744201248</vt:i4>
  </property>
</Properties>
</file>